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ECC" w:rsidRDefault="007A5ECC" w:rsidP="009677F3">
      <w:pPr>
        <w:jc w:val="center"/>
      </w:pPr>
    </w:p>
    <w:p w:rsidR="007A5ECC" w:rsidRDefault="007A5ECC" w:rsidP="009677F3">
      <w:pPr>
        <w:jc w:val="center"/>
      </w:pPr>
    </w:p>
    <w:p w:rsidR="007A5ECC" w:rsidRPr="000F70A0" w:rsidRDefault="007A5ECC" w:rsidP="00503AD7">
      <w:pPr>
        <w:autoSpaceDE w:val="0"/>
        <w:autoSpaceDN w:val="0"/>
        <w:adjustRightInd w:val="0"/>
        <w:jc w:val="center"/>
        <w:rPr>
          <w:b/>
          <w:bCs/>
          <w:color w:val="000000"/>
        </w:rPr>
      </w:pPr>
      <w:r w:rsidRPr="000F70A0">
        <w:rPr>
          <w:b/>
          <w:bCs/>
          <w:color w:val="000000"/>
        </w:rPr>
        <w:t xml:space="preserve">REGOLAMENTO </w:t>
      </w:r>
      <w:r w:rsidR="00AF5115">
        <w:rPr>
          <w:b/>
          <w:bCs/>
          <w:color w:val="000000"/>
        </w:rPr>
        <w:t xml:space="preserve">DI ATENEO </w:t>
      </w:r>
      <w:r w:rsidRPr="000F70A0">
        <w:rPr>
          <w:b/>
          <w:bCs/>
          <w:color w:val="000000"/>
        </w:rPr>
        <w:t xml:space="preserve">PER L’AMMINISTRAZIONE </w:t>
      </w:r>
      <w:r w:rsidR="00AF5115">
        <w:rPr>
          <w:b/>
          <w:bCs/>
          <w:color w:val="000000"/>
        </w:rPr>
        <w:t xml:space="preserve">LA FINANZA </w:t>
      </w:r>
      <w:r w:rsidRPr="000F70A0">
        <w:rPr>
          <w:b/>
          <w:bCs/>
          <w:color w:val="000000"/>
        </w:rPr>
        <w:t xml:space="preserve">E LA CONTABILITÀ </w:t>
      </w:r>
    </w:p>
    <w:p w:rsidR="007A5ECC" w:rsidRDefault="007A5ECC" w:rsidP="00503AD7">
      <w:pPr>
        <w:autoSpaceDE w:val="0"/>
        <w:autoSpaceDN w:val="0"/>
        <w:adjustRightInd w:val="0"/>
        <w:jc w:val="center"/>
        <w:rPr>
          <w:b/>
          <w:bCs/>
          <w:color w:val="000000"/>
        </w:rPr>
      </w:pPr>
    </w:p>
    <w:p w:rsidR="007A5ECC" w:rsidRPr="00503AD7" w:rsidRDefault="007A5ECC" w:rsidP="00503AD7">
      <w:pPr>
        <w:autoSpaceDE w:val="0"/>
        <w:autoSpaceDN w:val="0"/>
        <w:adjustRightInd w:val="0"/>
        <w:jc w:val="center"/>
        <w:rPr>
          <w:b/>
          <w:bCs/>
          <w:color w:val="000000"/>
        </w:rPr>
      </w:pPr>
      <w:r w:rsidRPr="00503AD7">
        <w:rPr>
          <w:b/>
          <w:bCs/>
          <w:color w:val="000000"/>
        </w:rPr>
        <w:t>TITOLO I – NORME GENERALI</w:t>
      </w:r>
    </w:p>
    <w:p w:rsidR="007A5ECC" w:rsidRDefault="007A5ECC" w:rsidP="00503AD7">
      <w:pPr>
        <w:pStyle w:val="Default"/>
        <w:spacing w:line="240" w:lineRule="auto"/>
        <w:jc w:val="center"/>
        <w:rPr>
          <w:b/>
          <w:bCs/>
          <w:sz w:val="22"/>
          <w:szCs w:val="22"/>
        </w:rPr>
      </w:pPr>
      <w:r w:rsidRPr="00503AD7">
        <w:rPr>
          <w:b/>
          <w:bCs/>
          <w:sz w:val="22"/>
          <w:szCs w:val="22"/>
        </w:rPr>
        <w:t>CAPO I – PRINCIPI E FINALITÀ</w:t>
      </w:r>
    </w:p>
    <w:p w:rsidR="007A5ECC" w:rsidRDefault="007A5ECC" w:rsidP="00503AD7">
      <w:pPr>
        <w:pStyle w:val="Default"/>
        <w:spacing w:line="240" w:lineRule="auto"/>
        <w:jc w:val="center"/>
        <w:rPr>
          <w:b/>
          <w:sz w:val="22"/>
          <w:szCs w:val="22"/>
        </w:rPr>
      </w:pPr>
    </w:p>
    <w:p w:rsidR="00837FED" w:rsidRPr="00503AD7" w:rsidRDefault="00837FED" w:rsidP="00503AD7">
      <w:pPr>
        <w:pStyle w:val="Default"/>
        <w:spacing w:line="240" w:lineRule="auto"/>
        <w:jc w:val="center"/>
        <w:rPr>
          <w:b/>
          <w:sz w:val="22"/>
          <w:szCs w:val="22"/>
        </w:rPr>
      </w:pPr>
    </w:p>
    <w:p w:rsidR="007A5ECC" w:rsidRPr="00837FED" w:rsidRDefault="007A5ECC" w:rsidP="00503AD7">
      <w:pPr>
        <w:pStyle w:val="Default"/>
        <w:tabs>
          <w:tab w:val="left" w:pos="900"/>
        </w:tabs>
        <w:spacing w:line="240" w:lineRule="auto"/>
        <w:rPr>
          <w:b/>
          <w:bCs/>
        </w:rPr>
      </w:pPr>
      <w:r w:rsidRPr="00837FED">
        <w:rPr>
          <w:b/>
          <w:bCs/>
        </w:rPr>
        <w:t>Art. 1 – Principi della gestione amministrativo-contabile</w:t>
      </w:r>
    </w:p>
    <w:p w:rsidR="007A5ECC" w:rsidRPr="00837FED" w:rsidRDefault="007A5ECC" w:rsidP="00503AD7">
      <w:pPr>
        <w:pStyle w:val="Default"/>
        <w:tabs>
          <w:tab w:val="left" w:pos="900"/>
        </w:tabs>
        <w:spacing w:line="240" w:lineRule="auto"/>
      </w:pPr>
    </w:p>
    <w:p w:rsidR="007A5ECC" w:rsidRPr="00837FED" w:rsidRDefault="007A5ECC" w:rsidP="00503AD7">
      <w:pPr>
        <w:pStyle w:val="Default"/>
        <w:widowControl/>
        <w:numPr>
          <w:ilvl w:val="0"/>
          <w:numId w:val="32"/>
        </w:numPr>
        <w:tabs>
          <w:tab w:val="left" w:pos="0"/>
          <w:tab w:val="left" w:pos="360"/>
        </w:tabs>
        <w:spacing w:line="240" w:lineRule="auto"/>
        <w:ind w:left="360"/>
        <w:textAlignment w:val="auto"/>
      </w:pPr>
      <w:r w:rsidRPr="00837FED">
        <w:t>L’attività amministrativo-contabile è diretta ad assicurare il raggiungimento dei fini istituzionali, perseguendo l’equilibrio economico, finanziario, patrimoniale, di breve e lungo periodo, nel rispetto dei principi contabili e postulati di bilancio contenuti nella normativa vigente.</w:t>
      </w:r>
    </w:p>
    <w:p w:rsidR="007A5ECC" w:rsidRPr="00837FED" w:rsidRDefault="007A5ECC" w:rsidP="00503AD7">
      <w:pPr>
        <w:pStyle w:val="Default"/>
        <w:widowControl/>
        <w:numPr>
          <w:ilvl w:val="0"/>
          <w:numId w:val="32"/>
        </w:numPr>
        <w:tabs>
          <w:tab w:val="left" w:pos="0"/>
          <w:tab w:val="left" w:pos="360"/>
        </w:tabs>
        <w:spacing w:line="240" w:lineRule="auto"/>
        <w:ind w:left="360"/>
        <w:textAlignment w:val="auto"/>
      </w:pPr>
      <w:r w:rsidRPr="00837FED">
        <w:t>I processi amministrativo-contabili si ispirano ai principi di legalità, trasparenza, pubblicità degli atti, efficienza, efficacia ed economicità e tendono alla responsabilizzazione nella gestione delle risorse oltre che al conseguimento degli obiettivi prefissati.</w:t>
      </w:r>
    </w:p>
    <w:p w:rsidR="007A5ECC" w:rsidRPr="00837FED" w:rsidRDefault="007A5ECC" w:rsidP="00503AD7">
      <w:pPr>
        <w:pStyle w:val="Default"/>
        <w:widowControl/>
        <w:tabs>
          <w:tab w:val="left" w:pos="0"/>
          <w:tab w:val="left" w:pos="360"/>
        </w:tabs>
        <w:spacing w:line="240" w:lineRule="auto"/>
        <w:textAlignment w:val="auto"/>
      </w:pPr>
    </w:p>
    <w:p w:rsidR="007A5ECC" w:rsidRPr="00837FED" w:rsidRDefault="007A5ECC" w:rsidP="00503AD7">
      <w:pPr>
        <w:pStyle w:val="Default"/>
        <w:tabs>
          <w:tab w:val="left" w:pos="900"/>
        </w:tabs>
        <w:spacing w:line="240" w:lineRule="auto"/>
        <w:ind w:left="900" w:hanging="900"/>
        <w:rPr>
          <w:b/>
          <w:bCs/>
        </w:rPr>
      </w:pPr>
      <w:r w:rsidRPr="00837FED">
        <w:rPr>
          <w:b/>
          <w:bCs/>
        </w:rPr>
        <w:t>Art. 2 – Ambito di applicazione</w:t>
      </w:r>
    </w:p>
    <w:p w:rsidR="007A5ECC" w:rsidRPr="00837FED" w:rsidRDefault="007A5ECC" w:rsidP="00503AD7">
      <w:pPr>
        <w:pStyle w:val="Default"/>
        <w:tabs>
          <w:tab w:val="left" w:pos="900"/>
        </w:tabs>
        <w:spacing w:line="240" w:lineRule="auto"/>
        <w:ind w:left="900" w:hanging="900"/>
      </w:pPr>
    </w:p>
    <w:p w:rsidR="007A5ECC" w:rsidRPr="00837FED" w:rsidRDefault="007A5ECC" w:rsidP="00503AD7">
      <w:pPr>
        <w:pStyle w:val="Default"/>
        <w:widowControl/>
        <w:numPr>
          <w:ilvl w:val="0"/>
          <w:numId w:val="33"/>
        </w:numPr>
        <w:tabs>
          <w:tab w:val="left" w:pos="360"/>
        </w:tabs>
        <w:spacing w:line="240" w:lineRule="auto"/>
        <w:ind w:left="360"/>
        <w:textAlignment w:val="auto"/>
      </w:pPr>
      <w:r w:rsidRPr="00837FED">
        <w:t xml:space="preserve">Il presente Regolamento viene adottato in attuazione degli artt. 6 e 7 della Legge 9 maggio 1989, n. 168 </w:t>
      </w:r>
      <w:proofErr w:type="spellStart"/>
      <w:proofErr w:type="gramStart"/>
      <w:r w:rsidRPr="00837FED">
        <w:t>ss.mm.ii</w:t>
      </w:r>
      <w:proofErr w:type="spellEnd"/>
      <w:r w:rsidRPr="00837FED">
        <w:t>.,</w:t>
      </w:r>
      <w:proofErr w:type="gramEnd"/>
      <w:r w:rsidRPr="00837FED">
        <w:t xml:space="preserve"> nonché ai sensi della Legge 31 dicembre 2009, n. 196, della Legge 30 dicembre 2010, n. 240 e dei suoi decreti attuativi, dell’art. 7, co. 2 del Decreto Legislativo 27 gennaio 2012 n. 18 e degli altri decreti attuativi emanati ed </w:t>
      </w:r>
      <w:proofErr w:type="spellStart"/>
      <w:r w:rsidRPr="00837FED">
        <w:t>emanandi</w:t>
      </w:r>
      <w:proofErr w:type="spellEnd"/>
      <w:r w:rsidRPr="00837FED">
        <w:t>, nonché dello Statuto del Politecnico di Bari, emanato con D.R. 19 aprile 2012, n. 128.</w:t>
      </w:r>
    </w:p>
    <w:p w:rsidR="007A5ECC" w:rsidRPr="00837FED" w:rsidRDefault="007A5ECC" w:rsidP="00503AD7">
      <w:pPr>
        <w:pStyle w:val="Default"/>
        <w:widowControl/>
        <w:numPr>
          <w:ilvl w:val="0"/>
          <w:numId w:val="33"/>
        </w:numPr>
        <w:tabs>
          <w:tab w:val="left" w:pos="360"/>
        </w:tabs>
        <w:spacing w:line="240" w:lineRule="auto"/>
        <w:ind w:left="360"/>
        <w:textAlignment w:val="auto"/>
      </w:pPr>
      <w:r w:rsidRPr="00837FED">
        <w:t>Il presente Regolamento si applica all’attività amministrativo-contabile del Politecnico di Bari, diretta ad assicurare il perseguimento delle finalità pubbliche di ricerca, di didattica, di trasferimento tecnologico e di servizi, che si attua negli ambiti di competenza dei Dipartimenti e degli altri Centri autonomi di Gestione.</w:t>
      </w:r>
    </w:p>
    <w:p w:rsidR="007A5ECC" w:rsidRPr="00837FED" w:rsidRDefault="007A5ECC" w:rsidP="00503AD7">
      <w:pPr>
        <w:pStyle w:val="Default"/>
        <w:widowControl/>
        <w:numPr>
          <w:ilvl w:val="0"/>
          <w:numId w:val="33"/>
        </w:numPr>
        <w:tabs>
          <w:tab w:val="left" w:pos="360"/>
        </w:tabs>
        <w:spacing w:line="240" w:lineRule="auto"/>
        <w:ind w:left="360"/>
        <w:textAlignment w:val="auto"/>
      </w:pPr>
      <w:r w:rsidRPr="00837FED">
        <w:t>Il Regolamento definisce:</w:t>
      </w:r>
    </w:p>
    <w:p w:rsidR="007A5ECC" w:rsidRPr="00837FED" w:rsidRDefault="007A5ECC" w:rsidP="00503AD7">
      <w:pPr>
        <w:pStyle w:val="Default"/>
        <w:widowControl/>
        <w:numPr>
          <w:ilvl w:val="0"/>
          <w:numId w:val="34"/>
        </w:numPr>
        <w:tabs>
          <w:tab w:val="left" w:pos="360"/>
        </w:tabs>
        <w:spacing w:line="240" w:lineRule="auto"/>
        <w:ind w:left="720"/>
        <w:textAlignment w:val="auto"/>
      </w:pPr>
      <w:proofErr w:type="gramStart"/>
      <w:r w:rsidRPr="00837FED">
        <w:t>il</w:t>
      </w:r>
      <w:proofErr w:type="gramEnd"/>
      <w:r w:rsidRPr="00837FED">
        <w:t xml:space="preserve"> modello contabile utilizzato dal Politecnico di Bari, la sua struttura e finalità;</w:t>
      </w:r>
    </w:p>
    <w:p w:rsidR="007A5ECC" w:rsidRPr="00837FED" w:rsidRDefault="007A5ECC" w:rsidP="00503AD7">
      <w:pPr>
        <w:pStyle w:val="Default"/>
        <w:widowControl/>
        <w:numPr>
          <w:ilvl w:val="0"/>
          <w:numId w:val="34"/>
        </w:numPr>
        <w:tabs>
          <w:tab w:val="left" w:pos="360"/>
        </w:tabs>
        <w:spacing w:line="240" w:lineRule="auto"/>
        <w:ind w:left="720"/>
        <w:textAlignment w:val="auto"/>
      </w:pPr>
      <w:proofErr w:type="gramStart"/>
      <w:r w:rsidRPr="00837FED">
        <w:t>i</w:t>
      </w:r>
      <w:proofErr w:type="gramEnd"/>
      <w:r w:rsidRPr="00837FED">
        <w:t xml:space="preserve"> processi contabili (previsione, gestione, chiusure e aperture contabili e revisione della previsione);</w:t>
      </w:r>
    </w:p>
    <w:p w:rsidR="007A5ECC" w:rsidRPr="00837FED" w:rsidRDefault="007A5ECC" w:rsidP="00503AD7">
      <w:pPr>
        <w:pStyle w:val="Default"/>
        <w:widowControl/>
        <w:numPr>
          <w:ilvl w:val="0"/>
          <w:numId w:val="34"/>
        </w:numPr>
        <w:tabs>
          <w:tab w:val="left" w:pos="360"/>
        </w:tabs>
        <w:spacing w:line="240" w:lineRule="auto"/>
        <w:ind w:left="720"/>
        <w:textAlignment w:val="auto"/>
      </w:pPr>
      <w:proofErr w:type="gramStart"/>
      <w:r w:rsidRPr="00837FED">
        <w:t>le</w:t>
      </w:r>
      <w:proofErr w:type="gramEnd"/>
      <w:r w:rsidRPr="00837FED">
        <w:t xml:space="preserve"> forme e il sistema dei controlli;</w:t>
      </w:r>
    </w:p>
    <w:p w:rsidR="007A5ECC" w:rsidRPr="00837FED" w:rsidRDefault="007A5ECC" w:rsidP="00503AD7">
      <w:pPr>
        <w:pStyle w:val="Default"/>
        <w:widowControl/>
        <w:numPr>
          <w:ilvl w:val="0"/>
          <w:numId w:val="34"/>
        </w:numPr>
        <w:tabs>
          <w:tab w:val="left" w:pos="360"/>
        </w:tabs>
        <w:spacing w:line="240" w:lineRule="auto"/>
        <w:ind w:left="720"/>
        <w:textAlignment w:val="auto"/>
      </w:pPr>
      <w:proofErr w:type="gramStart"/>
      <w:r w:rsidRPr="00837FED">
        <w:t>la</w:t>
      </w:r>
      <w:proofErr w:type="gramEnd"/>
      <w:r w:rsidRPr="00837FED">
        <w:t xml:space="preserve"> gestione dell’attività negoziale, attiva e passiva;</w:t>
      </w:r>
    </w:p>
    <w:p w:rsidR="007A5ECC" w:rsidRPr="00837FED" w:rsidRDefault="007A5ECC" w:rsidP="00503AD7">
      <w:pPr>
        <w:pStyle w:val="Default"/>
        <w:widowControl/>
        <w:numPr>
          <w:ilvl w:val="0"/>
          <w:numId w:val="34"/>
        </w:numPr>
        <w:tabs>
          <w:tab w:val="left" w:pos="360"/>
        </w:tabs>
        <w:spacing w:line="240" w:lineRule="auto"/>
        <w:ind w:left="720"/>
        <w:textAlignment w:val="auto"/>
      </w:pPr>
      <w:proofErr w:type="gramStart"/>
      <w:r w:rsidRPr="00837FED">
        <w:t>altre</w:t>
      </w:r>
      <w:proofErr w:type="gramEnd"/>
      <w:r w:rsidRPr="00837FED">
        <w:t xml:space="preserve"> disposizioni particolari.</w:t>
      </w:r>
    </w:p>
    <w:p w:rsidR="007A5ECC" w:rsidRPr="00837FED" w:rsidRDefault="007A5ECC" w:rsidP="00503AD7">
      <w:pPr>
        <w:pStyle w:val="Default"/>
        <w:widowControl/>
        <w:numPr>
          <w:ilvl w:val="0"/>
          <w:numId w:val="36"/>
        </w:numPr>
        <w:tabs>
          <w:tab w:val="clear" w:pos="3133"/>
          <w:tab w:val="num" w:pos="360"/>
        </w:tabs>
        <w:spacing w:line="240" w:lineRule="auto"/>
        <w:ind w:left="360" w:hanging="360"/>
        <w:textAlignment w:val="auto"/>
      </w:pPr>
      <w:r w:rsidRPr="00837FED">
        <w:t>I dettagli della struttura e delle procedure operative del sistema contabile e del sistema di controllo di gestione sono descritti nel Manuale di Contabilità e nel Manuale del Controllo di Gestione ai quali il presente Regolamento rinvia.</w:t>
      </w:r>
    </w:p>
    <w:p w:rsidR="007A5ECC" w:rsidRPr="00837FED" w:rsidRDefault="007A5ECC" w:rsidP="00503AD7">
      <w:pPr>
        <w:pStyle w:val="Default"/>
        <w:widowControl/>
        <w:numPr>
          <w:ilvl w:val="0"/>
          <w:numId w:val="36"/>
        </w:numPr>
        <w:tabs>
          <w:tab w:val="clear" w:pos="3133"/>
          <w:tab w:val="num" w:pos="360"/>
        </w:tabs>
        <w:spacing w:line="240" w:lineRule="auto"/>
        <w:ind w:left="360" w:hanging="360"/>
        <w:textAlignment w:val="auto"/>
      </w:pPr>
      <w:r w:rsidRPr="00837FED">
        <w:t>Il Manuale di Contabilità può integrare la struttura del Piano dei Conti di contabilità, di cui all’art. 11, definita dagli schemi ministeriali. Esso deve, comunque, prevedere:</w:t>
      </w:r>
    </w:p>
    <w:p w:rsidR="007A5ECC" w:rsidRPr="00837FED" w:rsidRDefault="007A5ECC" w:rsidP="00503AD7">
      <w:pPr>
        <w:pStyle w:val="Default"/>
        <w:widowControl/>
        <w:numPr>
          <w:ilvl w:val="1"/>
          <w:numId w:val="36"/>
        </w:numPr>
        <w:tabs>
          <w:tab w:val="left" w:pos="360"/>
          <w:tab w:val="left" w:pos="720"/>
        </w:tabs>
        <w:spacing w:line="240" w:lineRule="auto"/>
        <w:ind w:hanging="1080"/>
        <w:textAlignment w:val="auto"/>
      </w:pPr>
      <w:proofErr w:type="gramStart"/>
      <w:r w:rsidRPr="00837FED">
        <w:t>le</w:t>
      </w:r>
      <w:proofErr w:type="gramEnd"/>
      <w:r w:rsidRPr="00837FED">
        <w:t xml:space="preserve"> procedure ed i documenti contabili cui fare riferimento nelle registrazioni;</w:t>
      </w:r>
    </w:p>
    <w:p w:rsidR="007A5ECC" w:rsidRPr="00837FED" w:rsidRDefault="007A5ECC" w:rsidP="00503AD7">
      <w:pPr>
        <w:pStyle w:val="Default"/>
        <w:widowControl/>
        <w:numPr>
          <w:ilvl w:val="1"/>
          <w:numId w:val="36"/>
        </w:numPr>
        <w:tabs>
          <w:tab w:val="left" w:pos="360"/>
          <w:tab w:val="left" w:pos="720"/>
        </w:tabs>
        <w:spacing w:line="240" w:lineRule="auto"/>
        <w:ind w:hanging="1080"/>
        <w:textAlignment w:val="auto"/>
      </w:pPr>
      <w:proofErr w:type="gramStart"/>
      <w:r w:rsidRPr="00837FED">
        <w:t>gli</w:t>
      </w:r>
      <w:proofErr w:type="gramEnd"/>
      <w:r w:rsidRPr="00837FED">
        <w:t xml:space="preserve"> schemi e le modalità per la rendicontazione periodica;</w:t>
      </w:r>
    </w:p>
    <w:p w:rsidR="007A5ECC" w:rsidRPr="00837FED" w:rsidRDefault="007A5ECC" w:rsidP="00503AD7">
      <w:pPr>
        <w:pStyle w:val="Default"/>
        <w:widowControl/>
        <w:numPr>
          <w:ilvl w:val="1"/>
          <w:numId w:val="36"/>
        </w:numPr>
        <w:tabs>
          <w:tab w:val="left" w:pos="360"/>
          <w:tab w:val="left" w:pos="720"/>
        </w:tabs>
        <w:spacing w:line="240" w:lineRule="auto"/>
        <w:ind w:hanging="1080"/>
        <w:textAlignment w:val="auto"/>
      </w:pPr>
      <w:proofErr w:type="gramStart"/>
      <w:r w:rsidRPr="00837FED">
        <w:t>le</w:t>
      </w:r>
      <w:proofErr w:type="gramEnd"/>
      <w:r w:rsidRPr="00837FED">
        <w:t xml:space="preserve"> procedure e le modalità di governo dei flussi finanziari.</w:t>
      </w:r>
    </w:p>
    <w:p w:rsidR="007A5ECC" w:rsidRPr="00837FED" w:rsidRDefault="007A5ECC" w:rsidP="00BF6BC5">
      <w:pPr>
        <w:pStyle w:val="Default"/>
        <w:widowControl/>
        <w:numPr>
          <w:ilvl w:val="0"/>
          <w:numId w:val="36"/>
        </w:numPr>
        <w:tabs>
          <w:tab w:val="clear" w:pos="3133"/>
          <w:tab w:val="num" w:pos="360"/>
        </w:tabs>
        <w:suppressAutoHyphens/>
        <w:spacing w:line="240" w:lineRule="auto"/>
        <w:ind w:left="357" w:hanging="357"/>
        <w:textAlignment w:val="auto"/>
      </w:pPr>
      <w:r w:rsidRPr="00837FED">
        <w:t xml:space="preserve">Il Manuale del Controllo di Gestione definisce il piano dei centri di responsabilità e dei Centri di Costo/Provento, le procedure di formazione e di assegnazione dei budget, le modalità di gestione degli stessi, le procedure di controllo concomitante e consuntivo, le procedure di </w:t>
      </w:r>
      <w:proofErr w:type="spellStart"/>
      <w:r w:rsidRPr="00837FED">
        <w:t>ri</w:t>
      </w:r>
      <w:proofErr w:type="spellEnd"/>
      <w:r w:rsidRPr="00837FED">
        <w:t>-</w:t>
      </w:r>
      <w:r w:rsidRPr="00837FED">
        <w:lastRenderedPageBreak/>
        <w:t>programmazione, nonché i criteri di allocazione dei costi e dei proventi ai Centri di Costo/Provento.</w:t>
      </w:r>
    </w:p>
    <w:p w:rsidR="007A5ECC" w:rsidRPr="00837FED" w:rsidRDefault="007A5ECC" w:rsidP="00503AD7">
      <w:pPr>
        <w:pStyle w:val="Default"/>
        <w:widowControl/>
        <w:numPr>
          <w:ilvl w:val="0"/>
          <w:numId w:val="36"/>
        </w:numPr>
        <w:tabs>
          <w:tab w:val="clear" w:pos="3133"/>
          <w:tab w:val="num" w:pos="360"/>
        </w:tabs>
        <w:spacing w:line="240" w:lineRule="auto"/>
        <w:ind w:left="360" w:hanging="360"/>
        <w:textAlignment w:val="auto"/>
      </w:pPr>
      <w:r w:rsidRPr="00837FED">
        <w:t>Il Manuale di Contabilità e il Manuale del Controllo di Gestione, in quanto strumenti operativi di natura non regolamentare, sono approvati, su proposta del Rettore e del Direttore Generale, dal Consiglio di Amministrazione ed emanati entro tre mesi dall’entrata in vigore del presente Regolamento.</w:t>
      </w:r>
    </w:p>
    <w:p w:rsidR="00837FED" w:rsidRPr="00837FED" w:rsidRDefault="00837FED" w:rsidP="00503AD7">
      <w:pPr>
        <w:pStyle w:val="Default"/>
        <w:widowControl/>
        <w:spacing w:line="240" w:lineRule="auto"/>
        <w:textAlignment w:val="auto"/>
      </w:pPr>
    </w:p>
    <w:p w:rsidR="00837FED" w:rsidRDefault="00837FED" w:rsidP="00503AD7">
      <w:pPr>
        <w:pStyle w:val="Default"/>
        <w:widowControl/>
        <w:spacing w:line="240" w:lineRule="auto"/>
        <w:textAlignment w:val="auto"/>
        <w:rPr>
          <w:sz w:val="22"/>
          <w:szCs w:val="22"/>
        </w:rPr>
      </w:pPr>
    </w:p>
    <w:p w:rsidR="00837FED" w:rsidRPr="000F70A0" w:rsidRDefault="00837FED" w:rsidP="00503AD7">
      <w:pPr>
        <w:pStyle w:val="Default"/>
        <w:widowControl/>
        <w:spacing w:line="240" w:lineRule="auto"/>
        <w:textAlignment w:val="auto"/>
        <w:rPr>
          <w:sz w:val="22"/>
          <w:szCs w:val="22"/>
        </w:rPr>
      </w:pPr>
    </w:p>
    <w:p w:rsidR="007A5ECC" w:rsidRPr="00837FED" w:rsidRDefault="007A5ECC" w:rsidP="00503AD7">
      <w:pPr>
        <w:pStyle w:val="Default"/>
        <w:spacing w:line="240" w:lineRule="auto"/>
        <w:jc w:val="center"/>
        <w:rPr>
          <w:b/>
          <w:bCs/>
        </w:rPr>
      </w:pPr>
      <w:r w:rsidRPr="00837FED">
        <w:rPr>
          <w:b/>
          <w:bCs/>
        </w:rPr>
        <w:t>CAPO II – STRUTTURA ORGANIZZATIVA</w:t>
      </w:r>
    </w:p>
    <w:p w:rsidR="007A5ECC" w:rsidRPr="00837FED" w:rsidRDefault="007A5ECC" w:rsidP="00503AD7">
      <w:pPr>
        <w:pStyle w:val="Default"/>
        <w:spacing w:line="240" w:lineRule="auto"/>
        <w:jc w:val="center"/>
        <w:rPr>
          <w:b/>
          <w:bCs/>
        </w:rPr>
      </w:pPr>
    </w:p>
    <w:p w:rsidR="007A5ECC" w:rsidRPr="00837FED" w:rsidRDefault="007A5ECC" w:rsidP="00503AD7">
      <w:pPr>
        <w:tabs>
          <w:tab w:val="left" w:pos="900"/>
        </w:tabs>
        <w:autoSpaceDE w:val="0"/>
        <w:autoSpaceDN w:val="0"/>
        <w:adjustRightInd w:val="0"/>
        <w:rPr>
          <w:b/>
          <w:bCs/>
        </w:rPr>
      </w:pPr>
      <w:r w:rsidRPr="00837FED">
        <w:rPr>
          <w:b/>
          <w:bCs/>
        </w:rPr>
        <w:t>Art. 3 – Organi di gestione e responsabilità</w:t>
      </w:r>
    </w:p>
    <w:p w:rsidR="007A5ECC" w:rsidRPr="00837FED" w:rsidRDefault="007A5ECC" w:rsidP="00503AD7">
      <w:pPr>
        <w:tabs>
          <w:tab w:val="left" w:pos="900"/>
        </w:tabs>
        <w:autoSpaceDE w:val="0"/>
        <w:autoSpaceDN w:val="0"/>
        <w:adjustRightInd w:val="0"/>
        <w:rPr>
          <w:b/>
          <w:bCs/>
        </w:rPr>
      </w:pPr>
    </w:p>
    <w:p w:rsidR="007A5ECC" w:rsidRPr="00837FED" w:rsidRDefault="007A5ECC" w:rsidP="00503AD7">
      <w:pPr>
        <w:numPr>
          <w:ilvl w:val="0"/>
          <w:numId w:val="31"/>
        </w:numPr>
        <w:tabs>
          <w:tab w:val="clear" w:pos="720"/>
          <w:tab w:val="num" w:pos="360"/>
        </w:tabs>
        <w:autoSpaceDE w:val="0"/>
        <w:autoSpaceDN w:val="0"/>
        <w:adjustRightInd w:val="0"/>
        <w:ind w:left="360"/>
        <w:jc w:val="both"/>
        <w:rPr>
          <w:color w:val="000000"/>
        </w:rPr>
      </w:pPr>
      <w:r w:rsidRPr="00837FED">
        <w:rPr>
          <w:color w:val="000000"/>
        </w:rPr>
        <w:t>Al Direttore Generale, ai sensi dell’art. 16 dello Statuto, spetta la gestione finanziaria, tecnica e amministrativa, mediante autonomi poteri di spesa e di organizzazione complessiva delle risorse umane e strumentali. Le medesime funzioni vengono conferite, nell’ambito delle rispettive attribuzioni, ai Dirigenti delle unità organizzative e possono essere altresì conferite alle altre figure professionali normativamente e contrattualmente previste.</w:t>
      </w:r>
    </w:p>
    <w:p w:rsidR="007A5ECC" w:rsidRPr="00837FED" w:rsidRDefault="007A5ECC" w:rsidP="00503AD7">
      <w:pPr>
        <w:numPr>
          <w:ilvl w:val="0"/>
          <w:numId w:val="31"/>
        </w:numPr>
        <w:tabs>
          <w:tab w:val="clear" w:pos="720"/>
          <w:tab w:val="num" w:pos="360"/>
        </w:tabs>
        <w:autoSpaceDE w:val="0"/>
        <w:autoSpaceDN w:val="0"/>
        <w:adjustRightInd w:val="0"/>
        <w:ind w:left="360"/>
        <w:jc w:val="both"/>
        <w:rPr>
          <w:color w:val="000000"/>
        </w:rPr>
      </w:pPr>
      <w:r w:rsidRPr="00837FED">
        <w:rPr>
          <w:color w:val="000000"/>
        </w:rPr>
        <w:t>Il Direttore Generale e i Dirigenti, nonché gli altri soggetti interessati, sono responsabili della gestione e dei relativi risultati.</w:t>
      </w:r>
    </w:p>
    <w:p w:rsidR="007A5ECC" w:rsidRPr="00837FED" w:rsidRDefault="007A5ECC" w:rsidP="00503AD7">
      <w:pPr>
        <w:numPr>
          <w:ilvl w:val="0"/>
          <w:numId w:val="31"/>
        </w:numPr>
        <w:tabs>
          <w:tab w:val="clear" w:pos="720"/>
          <w:tab w:val="num" w:pos="360"/>
        </w:tabs>
        <w:autoSpaceDE w:val="0"/>
        <w:autoSpaceDN w:val="0"/>
        <w:adjustRightInd w:val="0"/>
        <w:ind w:left="360"/>
        <w:jc w:val="both"/>
        <w:rPr>
          <w:color w:val="000000"/>
        </w:rPr>
      </w:pPr>
      <w:r w:rsidRPr="00837FED">
        <w:rPr>
          <w:color w:val="000000"/>
        </w:rPr>
        <w:t xml:space="preserve">Il decentramento amministrativo si attua attraverso i </w:t>
      </w:r>
      <w:r w:rsidRPr="00837FED">
        <w:t>Dipartimenti e gli altri Centri autonomi di Gestione</w:t>
      </w:r>
      <w:r w:rsidRPr="00837FED">
        <w:rPr>
          <w:color w:val="000000"/>
        </w:rPr>
        <w:t>, per i quali la gestione contabile è svolta dall'Amministrazione Centrale nel rispetto dei principi del bilancio unico di Ateneo di cui alla Legge 30 dicembre 2010, n. 240.</w:t>
      </w:r>
    </w:p>
    <w:p w:rsidR="007A5ECC" w:rsidRPr="00837FED" w:rsidRDefault="007A5ECC" w:rsidP="00503AD7">
      <w:pPr>
        <w:numPr>
          <w:ilvl w:val="0"/>
          <w:numId w:val="31"/>
        </w:numPr>
        <w:tabs>
          <w:tab w:val="clear" w:pos="720"/>
          <w:tab w:val="num" w:pos="360"/>
        </w:tabs>
        <w:autoSpaceDE w:val="0"/>
        <w:autoSpaceDN w:val="0"/>
        <w:adjustRightInd w:val="0"/>
        <w:ind w:left="360"/>
        <w:jc w:val="both"/>
      </w:pPr>
      <w:r w:rsidRPr="00837FED">
        <w:rPr>
          <w:color w:val="000000"/>
        </w:rPr>
        <w:t xml:space="preserve">I Dipartimenti e gli altri </w:t>
      </w:r>
      <w:r w:rsidRPr="00837FED">
        <w:t>Centri autonomi di Gestione sono unità organizzative che utilizzano le risorse messe a loro disposizione, e rispondono della corretta gestione di queste e del raggiungimento degli obiettivi programmati. Essi sono:</w:t>
      </w:r>
    </w:p>
    <w:p w:rsidR="007A5ECC" w:rsidRPr="00837FED" w:rsidRDefault="007A5ECC" w:rsidP="00503AD7">
      <w:pPr>
        <w:numPr>
          <w:ilvl w:val="1"/>
          <w:numId w:val="31"/>
        </w:numPr>
        <w:tabs>
          <w:tab w:val="clear" w:pos="1440"/>
          <w:tab w:val="num" w:pos="360"/>
          <w:tab w:val="num" w:pos="720"/>
        </w:tabs>
        <w:autoSpaceDE w:val="0"/>
        <w:autoSpaceDN w:val="0"/>
        <w:adjustRightInd w:val="0"/>
        <w:ind w:left="360" w:firstLine="0"/>
        <w:jc w:val="both"/>
      </w:pPr>
      <w:r w:rsidRPr="00837FED">
        <w:rPr>
          <w:color w:val="000000"/>
        </w:rPr>
        <w:t xml:space="preserve">I Dipartimenti e gli altri </w:t>
      </w:r>
      <w:r w:rsidRPr="00837FED">
        <w:t xml:space="preserve">Centri autonomi di Gestione, di cui agli artt. 20 e 28 dello Statuto; </w:t>
      </w:r>
    </w:p>
    <w:p w:rsidR="007A5ECC" w:rsidRPr="00837FED" w:rsidRDefault="007A5ECC" w:rsidP="00503AD7">
      <w:pPr>
        <w:numPr>
          <w:ilvl w:val="1"/>
          <w:numId w:val="31"/>
        </w:numPr>
        <w:tabs>
          <w:tab w:val="clear" w:pos="1440"/>
          <w:tab w:val="num" w:pos="360"/>
          <w:tab w:val="num" w:pos="720"/>
        </w:tabs>
        <w:autoSpaceDE w:val="0"/>
        <w:autoSpaceDN w:val="0"/>
        <w:adjustRightInd w:val="0"/>
        <w:ind w:left="360" w:firstLine="0"/>
        <w:jc w:val="both"/>
      </w:pPr>
      <w:r w:rsidRPr="00837FED">
        <w:t>Strutture dirigenziali.</w:t>
      </w:r>
    </w:p>
    <w:p w:rsidR="007A5ECC" w:rsidRPr="00837FED" w:rsidRDefault="007A5ECC" w:rsidP="00503AD7">
      <w:pPr>
        <w:numPr>
          <w:ilvl w:val="0"/>
          <w:numId w:val="31"/>
        </w:numPr>
        <w:tabs>
          <w:tab w:val="clear" w:pos="720"/>
          <w:tab w:val="num" w:pos="360"/>
        </w:tabs>
        <w:autoSpaceDE w:val="0"/>
        <w:autoSpaceDN w:val="0"/>
        <w:adjustRightInd w:val="0"/>
        <w:ind w:left="360"/>
        <w:jc w:val="both"/>
        <w:rPr>
          <w:color w:val="000000"/>
        </w:rPr>
      </w:pPr>
      <w:r w:rsidRPr="00837FED">
        <w:rPr>
          <w:color w:val="000000"/>
        </w:rPr>
        <w:t>Tutti i provvedimenti che dispongono attribuzioni di competenze e di funzioni, anche se delegate a tempo determinato, dovranno esplicitare le responsabilità connesse.</w:t>
      </w:r>
    </w:p>
    <w:p w:rsidR="007A5ECC" w:rsidRPr="000F70A0" w:rsidRDefault="007A5ECC" w:rsidP="00503AD7">
      <w:pPr>
        <w:autoSpaceDE w:val="0"/>
        <w:autoSpaceDN w:val="0"/>
        <w:adjustRightInd w:val="0"/>
        <w:jc w:val="both"/>
        <w:rPr>
          <w:color w:val="000000"/>
        </w:rPr>
      </w:pPr>
    </w:p>
    <w:p w:rsidR="007A5ECC" w:rsidRPr="00837FED" w:rsidRDefault="007A5ECC" w:rsidP="00503AD7">
      <w:pPr>
        <w:pStyle w:val="Default"/>
        <w:tabs>
          <w:tab w:val="left" w:pos="900"/>
        </w:tabs>
        <w:spacing w:line="240" w:lineRule="auto"/>
        <w:rPr>
          <w:b/>
          <w:bCs/>
        </w:rPr>
      </w:pPr>
      <w:r w:rsidRPr="00837FED">
        <w:rPr>
          <w:b/>
          <w:bCs/>
        </w:rPr>
        <w:t xml:space="preserve">Art. 4 – </w:t>
      </w:r>
      <w:r w:rsidRPr="00837FED">
        <w:rPr>
          <w:b/>
        </w:rPr>
        <w:t>Dipartimenti e gli altri Centri autonomi di Gestione</w:t>
      </w:r>
    </w:p>
    <w:p w:rsidR="007A5ECC" w:rsidRPr="00837FED" w:rsidRDefault="007A5ECC" w:rsidP="00503AD7">
      <w:pPr>
        <w:pStyle w:val="Default"/>
        <w:tabs>
          <w:tab w:val="left" w:pos="900"/>
        </w:tabs>
        <w:spacing w:line="240" w:lineRule="auto"/>
        <w:rPr>
          <w:b/>
          <w:bCs/>
        </w:rPr>
      </w:pPr>
    </w:p>
    <w:p w:rsidR="007A5ECC" w:rsidRPr="00837FED" w:rsidRDefault="007A5ECC" w:rsidP="00503AD7">
      <w:pPr>
        <w:pStyle w:val="Default"/>
        <w:widowControl/>
        <w:numPr>
          <w:ilvl w:val="0"/>
          <w:numId w:val="37"/>
        </w:numPr>
        <w:tabs>
          <w:tab w:val="clear" w:pos="3133"/>
          <w:tab w:val="num" w:pos="360"/>
        </w:tabs>
        <w:spacing w:line="240" w:lineRule="auto"/>
        <w:ind w:left="360" w:hanging="360"/>
        <w:textAlignment w:val="auto"/>
      </w:pPr>
      <w:r w:rsidRPr="00837FED">
        <w:t>Ciascun Dipartimento e Centro autonomo di Gestione predispone e approva la proposta del budget economico e degli investimenti, annuale e triennale.</w:t>
      </w:r>
    </w:p>
    <w:p w:rsidR="007A5ECC" w:rsidRPr="00837FED" w:rsidRDefault="007A5ECC" w:rsidP="00503AD7">
      <w:pPr>
        <w:pStyle w:val="Default"/>
        <w:widowControl/>
        <w:numPr>
          <w:ilvl w:val="0"/>
          <w:numId w:val="37"/>
        </w:numPr>
        <w:tabs>
          <w:tab w:val="clear" w:pos="3133"/>
          <w:tab w:val="num" w:pos="360"/>
        </w:tabs>
        <w:spacing w:line="240" w:lineRule="auto"/>
        <w:ind w:left="360" w:hanging="360"/>
        <w:textAlignment w:val="auto"/>
      </w:pPr>
      <w:r w:rsidRPr="00837FED">
        <w:t>I Dipartimenti e gli altri Centri autonomi di Gestione hanno autonomia amministrativa e gestionale nell’ambito delle risorse assegnate con l’approvazione del budget economico e degli investimenti annuale di Ateneo.</w:t>
      </w:r>
    </w:p>
    <w:p w:rsidR="007A5ECC" w:rsidRPr="00837FED" w:rsidRDefault="007A5ECC" w:rsidP="00503AD7">
      <w:pPr>
        <w:pStyle w:val="Default"/>
        <w:widowControl/>
        <w:numPr>
          <w:ilvl w:val="0"/>
          <w:numId w:val="37"/>
        </w:numPr>
        <w:tabs>
          <w:tab w:val="clear" w:pos="3133"/>
          <w:tab w:val="num" w:pos="360"/>
        </w:tabs>
        <w:spacing w:line="240" w:lineRule="auto"/>
        <w:ind w:left="360" w:hanging="360"/>
        <w:textAlignment w:val="auto"/>
      </w:pPr>
      <w:r w:rsidRPr="00837FED">
        <w:t>La responsabilità dell’attività amministrativo</w:t>
      </w:r>
      <w:r w:rsidRPr="00837FED">
        <w:rPr>
          <w:color w:val="auto"/>
        </w:rPr>
        <w:t xml:space="preserve">-contabile </w:t>
      </w:r>
      <w:r w:rsidRPr="00837FED">
        <w:t>dei Dipartimenti e degli altri Centri autonomi di Gestione è affidata al Responsabile dei Servizi Amministrativi del Centro, nominato dal Direttore Generale.</w:t>
      </w:r>
    </w:p>
    <w:p w:rsidR="007A5ECC" w:rsidRPr="00837FED" w:rsidRDefault="007A5ECC" w:rsidP="00503AD7">
      <w:pPr>
        <w:pStyle w:val="Default"/>
        <w:widowControl/>
        <w:spacing w:line="240" w:lineRule="auto"/>
        <w:textAlignment w:val="auto"/>
      </w:pPr>
    </w:p>
    <w:p w:rsidR="007A5ECC" w:rsidRPr="00837FED" w:rsidRDefault="007A5ECC" w:rsidP="00503AD7">
      <w:pPr>
        <w:pStyle w:val="Default"/>
        <w:tabs>
          <w:tab w:val="left" w:pos="900"/>
        </w:tabs>
        <w:spacing w:line="240" w:lineRule="auto"/>
        <w:rPr>
          <w:b/>
          <w:bCs/>
        </w:rPr>
      </w:pPr>
      <w:r w:rsidRPr="00837FED">
        <w:rPr>
          <w:b/>
          <w:bCs/>
        </w:rPr>
        <w:t>Art. 5 – Strutture dirigenziali</w:t>
      </w:r>
    </w:p>
    <w:p w:rsidR="007A5ECC" w:rsidRPr="00837FED" w:rsidRDefault="007A5ECC" w:rsidP="00503AD7">
      <w:pPr>
        <w:pStyle w:val="Default"/>
        <w:tabs>
          <w:tab w:val="left" w:pos="900"/>
        </w:tabs>
        <w:spacing w:line="240" w:lineRule="auto"/>
        <w:rPr>
          <w:b/>
          <w:bCs/>
        </w:rPr>
      </w:pPr>
    </w:p>
    <w:p w:rsidR="007A5ECC" w:rsidRPr="00837FED" w:rsidRDefault="007A5ECC" w:rsidP="00503AD7">
      <w:pPr>
        <w:pStyle w:val="Default"/>
        <w:widowControl/>
        <w:numPr>
          <w:ilvl w:val="0"/>
          <w:numId w:val="38"/>
        </w:numPr>
        <w:tabs>
          <w:tab w:val="clear" w:pos="3133"/>
          <w:tab w:val="num" w:pos="360"/>
        </w:tabs>
        <w:spacing w:line="240" w:lineRule="auto"/>
        <w:ind w:left="360" w:hanging="360"/>
        <w:textAlignment w:val="auto"/>
      </w:pPr>
      <w:r w:rsidRPr="00837FED">
        <w:t>Ciascuna Struttura dirigenziale predispone la proposta del budget economico e degli investimenti, annuale e triennale.</w:t>
      </w:r>
    </w:p>
    <w:p w:rsidR="007A5ECC" w:rsidRPr="00837FED" w:rsidRDefault="007A5ECC" w:rsidP="00503AD7">
      <w:pPr>
        <w:pStyle w:val="Default"/>
        <w:widowControl/>
        <w:numPr>
          <w:ilvl w:val="0"/>
          <w:numId w:val="38"/>
        </w:numPr>
        <w:tabs>
          <w:tab w:val="clear" w:pos="3133"/>
          <w:tab w:val="num" w:pos="360"/>
        </w:tabs>
        <w:spacing w:line="240" w:lineRule="auto"/>
        <w:ind w:left="360" w:hanging="360"/>
        <w:textAlignment w:val="auto"/>
      </w:pPr>
      <w:r w:rsidRPr="00837FED">
        <w:t>Le Strutture dirigenziali hanno autonomia amministrativa e gestionale nell’ambito delle risorse assegnate con l’approvazione del budget economico e degli investimenti annuale di Ateneo.</w:t>
      </w:r>
    </w:p>
    <w:p w:rsidR="007A5ECC" w:rsidRPr="00837FED" w:rsidRDefault="007A5ECC" w:rsidP="00503AD7">
      <w:pPr>
        <w:pStyle w:val="Default"/>
        <w:widowControl/>
        <w:numPr>
          <w:ilvl w:val="0"/>
          <w:numId w:val="38"/>
        </w:numPr>
        <w:tabs>
          <w:tab w:val="clear" w:pos="3133"/>
          <w:tab w:val="num" w:pos="360"/>
        </w:tabs>
        <w:spacing w:line="240" w:lineRule="auto"/>
        <w:ind w:left="360" w:hanging="360"/>
        <w:textAlignment w:val="auto"/>
      </w:pPr>
      <w:r w:rsidRPr="00837FED">
        <w:lastRenderedPageBreak/>
        <w:t>Il Direttore Generale adotta gli atti relativi all’organizzazione degli uffici di livello dirigenziale non generale.</w:t>
      </w:r>
    </w:p>
    <w:p w:rsidR="00837FED" w:rsidRPr="00837FED" w:rsidRDefault="007A5ECC" w:rsidP="00BF6BC5">
      <w:pPr>
        <w:pStyle w:val="Default"/>
        <w:widowControl/>
        <w:numPr>
          <w:ilvl w:val="0"/>
          <w:numId w:val="38"/>
        </w:numPr>
        <w:tabs>
          <w:tab w:val="clear" w:pos="3133"/>
          <w:tab w:val="num" w:pos="360"/>
        </w:tabs>
        <w:spacing w:line="240" w:lineRule="auto"/>
        <w:ind w:left="360" w:hanging="360"/>
        <w:textAlignment w:val="auto"/>
      </w:pPr>
      <w:r w:rsidRPr="00837FED">
        <w:t>La responsabilità dell’attività amministrativo-gestionale della Struttura dirigenziale è affidata al Dirigente.</w:t>
      </w:r>
    </w:p>
    <w:p w:rsidR="007A5ECC" w:rsidRPr="00837FED" w:rsidRDefault="007A5ECC" w:rsidP="00503AD7">
      <w:pPr>
        <w:pStyle w:val="Default"/>
        <w:widowControl/>
        <w:spacing w:line="240" w:lineRule="auto"/>
        <w:textAlignment w:val="auto"/>
      </w:pPr>
    </w:p>
    <w:p w:rsidR="007A5ECC" w:rsidRPr="00837FED" w:rsidRDefault="007A5ECC" w:rsidP="00503AD7">
      <w:pPr>
        <w:pStyle w:val="Default"/>
        <w:spacing w:line="240" w:lineRule="auto"/>
        <w:rPr>
          <w:b/>
          <w:bCs/>
        </w:rPr>
      </w:pPr>
      <w:r w:rsidRPr="00837FED">
        <w:rPr>
          <w:b/>
          <w:bCs/>
        </w:rPr>
        <w:t xml:space="preserve">Art. 6 – Progetti gestionali particolarmente complessi e rilevanti </w:t>
      </w:r>
    </w:p>
    <w:p w:rsidR="007A5ECC" w:rsidRPr="00837FED" w:rsidRDefault="007A5ECC" w:rsidP="00503AD7">
      <w:pPr>
        <w:pStyle w:val="Default"/>
        <w:spacing w:line="240" w:lineRule="auto"/>
      </w:pPr>
    </w:p>
    <w:p w:rsidR="007A5ECC" w:rsidRPr="00837FED" w:rsidRDefault="007A5ECC" w:rsidP="00503AD7">
      <w:pPr>
        <w:pStyle w:val="Default"/>
        <w:widowControl/>
        <w:numPr>
          <w:ilvl w:val="0"/>
          <w:numId w:val="39"/>
        </w:numPr>
        <w:tabs>
          <w:tab w:val="clear" w:pos="3133"/>
          <w:tab w:val="num" w:pos="360"/>
        </w:tabs>
        <w:spacing w:line="240" w:lineRule="auto"/>
        <w:ind w:left="360" w:hanging="360"/>
        <w:textAlignment w:val="auto"/>
      </w:pPr>
      <w:r w:rsidRPr="00837FED">
        <w:t>Per la realizzazione di progetti gestionali particolarmente complessi e rilevanti possono essere individuati gruppi di progetto anche trasversali rispetto ai Dipartimenti e gli altri Centri di Gestione, stanziate risorse specifiche e nominato un responsabile.</w:t>
      </w:r>
    </w:p>
    <w:p w:rsidR="007A5ECC" w:rsidRDefault="007A5ECC" w:rsidP="00503AD7">
      <w:pPr>
        <w:autoSpaceDE w:val="0"/>
        <w:autoSpaceDN w:val="0"/>
        <w:adjustRightInd w:val="0"/>
        <w:rPr>
          <w:b/>
          <w:bCs/>
          <w:iCs/>
          <w:color w:val="000000"/>
        </w:rPr>
      </w:pPr>
    </w:p>
    <w:p w:rsidR="00837FED" w:rsidRPr="000F70A0" w:rsidRDefault="00837FED" w:rsidP="00503AD7">
      <w:pPr>
        <w:autoSpaceDE w:val="0"/>
        <w:autoSpaceDN w:val="0"/>
        <w:adjustRightInd w:val="0"/>
        <w:rPr>
          <w:b/>
          <w:bCs/>
          <w:iCs/>
          <w:color w:val="000000"/>
        </w:rPr>
      </w:pPr>
    </w:p>
    <w:p w:rsidR="007A5ECC" w:rsidRPr="000F70A0" w:rsidRDefault="007A5ECC" w:rsidP="00503AD7">
      <w:pPr>
        <w:autoSpaceDE w:val="0"/>
        <w:autoSpaceDN w:val="0"/>
        <w:adjustRightInd w:val="0"/>
        <w:jc w:val="center"/>
        <w:rPr>
          <w:b/>
          <w:bCs/>
          <w:iCs/>
          <w:color w:val="000000"/>
        </w:rPr>
      </w:pPr>
      <w:r w:rsidRPr="000F70A0">
        <w:rPr>
          <w:b/>
          <w:bCs/>
          <w:iCs/>
          <w:color w:val="000000"/>
        </w:rPr>
        <w:t>TITOLO II – IL SISTEMA CONTABILE</w:t>
      </w:r>
    </w:p>
    <w:p w:rsidR="007A5ECC" w:rsidRDefault="007A5ECC" w:rsidP="00503AD7">
      <w:pPr>
        <w:autoSpaceDE w:val="0"/>
        <w:autoSpaceDN w:val="0"/>
        <w:adjustRightInd w:val="0"/>
        <w:jc w:val="center"/>
        <w:rPr>
          <w:b/>
          <w:bCs/>
          <w:color w:val="000000"/>
        </w:rPr>
      </w:pPr>
      <w:r w:rsidRPr="00503AD7">
        <w:rPr>
          <w:b/>
          <w:bCs/>
          <w:color w:val="000000"/>
        </w:rPr>
        <w:t>CAPO I – ORGANIZZAZIONE DEL SISTEMA CONTABILE</w:t>
      </w:r>
    </w:p>
    <w:p w:rsidR="007A5ECC" w:rsidRPr="00503AD7" w:rsidRDefault="007A5ECC" w:rsidP="00503AD7">
      <w:pPr>
        <w:autoSpaceDE w:val="0"/>
        <w:autoSpaceDN w:val="0"/>
        <w:adjustRightInd w:val="0"/>
        <w:jc w:val="center"/>
        <w:rPr>
          <w:b/>
          <w:bCs/>
          <w:color w:val="000000"/>
        </w:rPr>
      </w:pPr>
    </w:p>
    <w:p w:rsidR="007A5ECC" w:rsidRDefault="007A5ECC" w:rsidP="00503AD7">
      <w:pPr>
        <w:autoSpaceDE w:val="0"/>
        <w:autoSpaceDN w:val="0"/>
        <w:adjustRightInd w:val="0"/>
        <w:jc w:val="both"/>
        <w:rPr>
          <w:b/>
          <w:bCs/>
          <w:color w:val="000000"/>
        </w:rPr>
      </w:pPr>
      <w:r w:rsidRPr="000F70A0">
        <w:rPr>
          <w:b/>
          <w:bCs/>
          <w:color w:val="000000"/>
        </w:rPr>
        <w:t>Art. 7 – Principi del sistema contabile</w:t>
      </w:r>
    </w:p>
    <w:p w:rsidR="007A5ECC" w:rsidRPr="000F70A0" w:rsidRDefault="007A5ECC" w:rsidP="00503AD7">
      <w:pPr>
        <w:autoSpaceDE w:val="0"/>
        <w:autoSpaceDN w:val="0"/>
        <w:adjustRightInd w:val="0"/>
        <w:jc w:val="both"/>
        <w:rPr>
          <w:b/>
          <w:bCs/>
          <w:color w:val="000000"/>
        </w:rPr>
      </w:pPr>
    </w:p>
    <w:p w:rsidR="007A5ECC" w:rsidRPr="000F70A0" w:rsidRDefault="007A5ECC" w:rsidP="00503AD7">
      <w:pPr>
        <w:numPr>
          <w:ilvl w:val="0"/>
          <w:numId w:val="4"/>
        </w:numPr>
        <w:tabs>
          <w:tab w:val="clear" w:pos="1440"/>
          <w:tab w:val="num" w:pos="360"/>
        </w:tabs>
        <w:autoSpaceDE w:val="0"/>
        <w:autoSpaceDN w:val="0"/>
        <w:adjustRightInd w:val="0"/>
        <w:ind w:left="360"/>
        <w:jc w:val="both"/>
        <w:rPr>
          <w:color w:val="000000"/>
        </w:rPr>
      </w:pPr>
      <w:r w:rsidRPr="000F70A0">
        <w:rPr>
          <w:color w:val="000000"/>
        </w:rPr>
        <w:t>Il Politecnico adotta il sistema economico-patrimoniale e il Bilancio unico di Ateneo, nonché i sistemi e le procedure di contabilità analitica.</w:t>
      </w:r>
    </w:p>
    <w:p w:rsidR="007A5ECC" w:rsidRPr="000F70A0" w:rsidRDefault="007A5ECC" w:rsidP="00503AD7">
      <w:pPr>
        <w:numPr>
          <w:ilvl w:val="0"/>
          <w:numId w:val="4"/>
        </w:numPr>
        <w:tabs>
          <w:tab w:val="clear" w:pos="1440"/>
          <w:tab w:val="num" w:pos="360"/>
        </w:tabs>
        <w:autoSpaceDE w:val="0"/>
        <w:autoSpaceDN w:val="0"/>
        <w:adjustRightInd w:val="0"/>
        <w:ind w:left="360"/>
        <w:jc w:val="both"/>
        <w:rPr>
          <w:color w:val="000000"/>
        </w:rPr>
      </w:pPr>
      <w:r w:rsidRPr="000F70A0">
        <w:rPr>
          <w:color w:val="000000"/>
        </w:rPr>
        <w:t xml:space="preserve">Nei Manuali di Contabilità e di Controllo di Gestione, sono specificati e illustrati le procedure operative per l’applicazione dei principi e dei criteri adottati per la contabilizzazione e la valutazione delle poste, in conformità alle previsioni dei provvedimenti attuativi dell’art. 5, co. 1, </w:t>
      </w:r>
      <w:proofErr w:type="spellStart"/>
      <w:r w:rsidRPr="000F70A0">
        <w:rPr>
          <w:color w:val="000000"/>
        </w:rPr>
        <w:t>lett</w:t>
      </w:r>
      <w:proofErr w:type="spellEnd"/>
      <w:r w:rsidRPr="000F70A0">
        <w:rPr>
          <w:color w:val="000000"/>
        </w:rPr>
        <w:t xml:space="preserve">. b) e co. 4, </w:t>
      </w:r>
      <w:proofErr w:type="spellStart"/>
      <w:r w:rsidRPr="000F70A0">
        <w:rPr>
          <w:color w:val="000000"/>
        </w:rPr>
        <w:t>lett</w:t>
      </w:r>
      <w:proofErr w:type="spellEnd"/>
      <w:r w:rsidRPr="000F70A0">
        <w:rPr>
          <w:color w:val="000000"/>
        </w:rPr>
        <w:t>. a), della Legge 30 dicembre 2010, n. 240.</w:t>
      </w:r>
    </w:p>
    <w:p w:rsidR="007A5ECC" w:rsidRPr="000F70A0" w:rsidRDefault="007A5ECC" w:rsidP="00503AD7">
      <w:pPr>
        <w:numPr>
          <w:ilvl w:val="0"/>
          <w:numId w:val="4"/>
        </w:numPr>
        <w:tabs>
          <w:tab w:val="clear" w:pos="1440"/>
          <w:tab w:val="num" w:pos="360"/>
        </w:tabs>
        <w:autoSpaceDE w:val="0"/>
        <w:autoSpaceDN w:val="0"/>
        <w:adjustRightInd w:val="0"/>
        <w:ind w:left="360"/>
        <w:jc w:val="both"/>
        <w:rPr>
          <w:color w:val="000000"/>
        </w:rPr>
      </w:pPr>
      <w:r w:rsidRPr="000F70A0">
        <w:rPr>
          <w:color w:val="000000"/>
        </w:rPr>
        <w:t>La contabilità è tenuta secondo criteri che permettono di rappresentare in modo chiaro, veritiero e corretto la situazione patrimoniale, economica e finanziaria dell’Ateneo, nonché il risultato d’esercizio. In particolare, si applicano i seguenti principi contabili generali:</w:t>
      </w:r>
    </w:p>
    <w:p w:rsidR="007A5ECC" w:rsidRPr="000F70A0" w:rsidRDefault="007A5ECC" w:rsidP="00503AD7">
      <w:pPr>
        <w:numPr>
          <w:ilvl w:val="1"/>
          <w:numId w:val="4"/>
        </w:numPr>
        <w:tabs>
          <w:tab w:val="clear" w:pos="1440"/>
          <w:tab w:val="num" w:pos="540"/>
          <w:tab w:val="left" w:pos="720"/>
        </w:tabs>
        <w:autoSpaceDE w:val="0"/>
        <w:autoSpaceDN w:val="0"/>
        <w:adjustRightInd w:val="0"/>
        <w:ind w:left="720"/>
        <w:jc w:val="both"/>
        <w:rPr>
          <w:color w:val="000000"/>
        </w:rPr>
      </w:pPr>
      <w:r>
        <w:rPr>
          <w:color w:val="000000"/>
        </w:rPr>
        <w:t xml:space="preserve">   </w:t>
      </w:r>
      <w:proofErr w:type="gramStart"/>
      <w:r w:rsidRPr="000F70A0">
        <w:rPr>
          <w:color w:val="000000"/>
        </w:rPr>
        <w:t>principio</w:t>
      </w:r>
      <w:proofErr w:type="gramEnd"/>
      <w:r w:rsidRPr="000F70A0">
        <w:rPr>
          <w:color w:val="000000"/>
        </w:rPr>
        <w:t xml:space="preserve"> della prudenza, volto a evitare una sopravvalutazione dei proventi di competenza dell’esercizio ma non ancora materialmente concretizzatisi, e una sottovalutazione dei costi e delle spese di competenza di futura manifestazione, nonché la definizione di criteri valutativi dei rischi e delle perdite presunte;</w:t>
      </w:r>
    </w:p>
    <w:p w:rsidR="007A5ECC" w:rsidRPr="000F70A0" w:rsidRDefault="007A5ECC" w:rsidP="00503AD7">
      <w:pPr>
        <w:numPr>
          <w:ilvl w:val="1"/>
          <w:numId w:val="4"/>
        </w:numPr>
        <w:tabs>
          <w:tab w:val="clear" w:pos="1440"/>
          <w:tab w:val="num" w:pos="540"/>
          <w:tab w:val="left" w:pos="720"/>
        </w:tabs>
        <w:autoSpaceDE w:val="0"/>
        <w:autoSpaceDN w:val="0"/>
        <w:adjustRightInd w:val="0"/>
        <w:ind w:left="720"/>
        <w:jc w:val="both"/>
        <w:rPr>
          <w:color w:val="000000"/>
        </w:rPr>
      </w:pPr>
      <w:r>
        <w:rPr>
          <w:color w:val="000000"/>
        </w:rPr>
        <w:t xml:space="preserve">   </w:t>
      </w:r>
      <w:proofErr w:type="gramStart"/>
      <w:r w:rsidRPr="000F70A0">
        <w:rPr>
          <w:color w:val="000000"/>
        </w:rPr>
        <w:t>principio</w:t>
      </w:r>
      <w:proofErr w:type="gramEnd"/>
      <w:r w:rsidRPr="000F70A0">
        <w:rPr>
          <w:color w:val="000000"/>
        </w:rPr>
        <w:t xml:space="preserve"> della competenza economica, in base al quale proventi e costi vanno attribuiti all’esercizio cui si riferiscono, indipendentemente dalla data di incasso e pagamento;</w:t>
      </w:r>
    </w:p>
    <w:p w:rsidR="007A5ECC" w:rsidRDefault="007A5ECC" w:rsidP="00503AD7">
      <w:pPr>
        <w:numPr>
          <w:ilvl w:val="1"/>
          <w:numId w:val="4"/>
        </w:numPr>
        <w:tabs>
          <w:tab w:val="clear" w:pos="1440"/>
          <w:tab w:val="num" w:pos="540"/>
          <w:tab w:val="left" w:pos="720"/>
        </w:tabs>
        <w:autoSpaceDE w:val="0"/>
        <w:autoSpaceDN w:val="0"/>
        <w:adjustRightInd w:val="0"/>
        <w:ind w:left="720"/>
        <w:jc w:val="both"/>
        <w:rPr>
          <w:color w:val="000000"/>
        </w:rPr>
      </w:pPr>
      <w:r>
        <w:rPr>
          <w:color w:val="000000"/>
        </w:rPr>
        <w:t xml:space="preserve">   </w:t>
      </w:r>
      <w:proofErr w:type="gramStart"/>
      <w:r w:rsidRPr="000F70A0">
        <w:rPr>
          <w:color w:val="000000"/>
        </w:rPr>
        <w:t>principio</w:t>
      </w:r>
      <w:proofErr w:type="gramEnd"/>
      <w:r w:rsidRPr="000F70A0">
        <w:rPr>
          <w:color w:val="000000"/>
        </w:rPr>
        <w:t xml:space="preserve"> della continuazione dell’attività dell’Ateneo, che guida la definizione dei criteri da adottare nella ripartizione delle spese pluriennali e nella determinazione delle poste di bilancio che richiedono valutazione.</w:t>
      </w:r>
    </w:p>
    <w:p w:rsidR="007A5ECC" w:rsidRPr="000F70A0" w:rsidRDefault="007A5ECC" w:rsidP="00503AD7">
      <w:pPr>
        <w:tabs>
          <w:tab w:val="left" w:pos="720"/>
        </w:tabs>
        <w:autoSpaceDE w:val="0"/>
        <w:autoSpaceDN w:val="0"/>
        <w:adjustRightInd w:val="0"/>
        <w:jc w:val="both"/>
        <w:rPr>
          <w:color w:val="000000"/>
        </w:rPr>
      </w:pPr>
    </w:p>
    <w:p w:rsidR="007A5ECC" w:rsidRDefault="007A5ECC" w:rsidP="00503AD7">
      <w:pPr>
        <w:autoSpaceDE w:val="0"/>
        <w:autoSpaceDN w:val="0"/>
        <w:adjustRightInd w:val="0"/>
        <w:jc w:val="both"/>
        <w:rPr>
          <w:b/>
          <w:bCs/>
          <w:color w:val="000000"/>
        </w:rPr>
      </w:pPr>
      <w:r w:rsidRPr="000F70A0">
        <w:rPr>
          <w:b/>
          <w:bCs/>
          <w:color w:val="000000"/>
        </w:rPr>
        <w:t>Art. 8 – Sistemi di rilevazione</w:t>
      </w:r>
    </w:p>
    <w:p w:rsidR="007A5ECC" w:rsidRPr="000F70A0" w:rsidRDefault="007A5ECC" w:rsidP="00503AD7">
      <w:pPr>
        <w:autoSpaceDE w:val="0"/>
        <w:autoSpaceDN w:val="0"/>
        <w:adjustRightInd w:val="0"/>
        <w:jc w:val="both"/>
        <w:rPr>
          <w:b/>
          <w:bCs/>
          <w:color w:val="000000"/>
        </w:rPr>
      </w:pPr>
    </w:p>
    <w:p w:rsidR="007A5ECC" w:rsidRDefault="007A5ECC" w:rsidP="00503AD7">
      <w:pPr>
        <w:numPr>
          <w:ilvl w:val="0"/>
          <w:numId w:val="5"/>
        </w:numPr>
        <w:tabs>
          <w:tab w:val="clear" w:pos="1620"/>
          <w:tab w:val="num" w:pos="360"/>
        </w:tabs>
        <w:autoSpaceDE w:val="0"/>
        <w:autoSpaceDN w:val="0"/>
        <w:adjustRightInd w:val="0"/>
        <w:ind w:left="360"/>
        <w:jc w:val="both"/>
        <w:rPr>
          <w:color w:val="000000"/>
        </w:rPr>
      </w:pPr>
      <w:r w:rsidRPr="000F70A0">
        <w:rPr>
          <w:color w:val="000000"/>
        </w:rPr>
        <w:t xml:space="preserve">La contabilità generale rispetta i principi propri della contabilità economico-patrimoniale richiamati nel presente Regolamento e nel Manuale di Contabilità. La contabilità analitica, in sede di Bilancio Unico di Ateneo di previsione annuale </w:t>
      </w:r>
      <w:proofErr w:type="spellStart"/>
      <w:r w:rsidRPr="000F70A0">
        <w:rPr>
          <w:color w:val="000000"/>
        </w:rPr>
        <w:t>autorizzatorio</w:t>
      </w:r>
      <w:proofErr w:type="spellEnd"/>
      <w:r w:rsidRPr="000F70A0">
        <w:rPr>
          <w:color w:val="000000"/>
        </w:rPr>
        <w:t xml:space="preserve">, definisce i limiti di budget dei </w:t>
      </w:r>
      <w:r>
        <w:rPr>
          <w:color w:val="000000"/>
        </w:rPr>
        <w:t>Dipartimenti e degli altri C</w:t>
      </w:r>
      <w:r w:rsidRPr="000F70A0">
        <w:rPr>
          <w:color w:val="000000"/>
        </w:rPr>
        <w:t xml:space="preserve">entri </w:t>
      </w:r>
      <w:r>
        <w:rPr>
          <w:color w:val="000000"/>
        </w:rPr>
        <w:t xml:space="preserve">autonomi </w:t>
      </w:r>
      <w:r w:rsidRPr="000F70A0">
        <w:rPr>
          <w:color w:val="000000"/>
        </w:rPr>
        <w:t xml:space="preserve">di </w:t>
      </w:r>
      <w:r>
        <w:rPr>
          <w:color w:val="000000"/>
        </w:rPr>
        <w:t>G</w:t>
      </w:r>
      <w:r w:rsidRPr="000F70A0">
        <w:rPr>
          <w:color w:val="000000"/>
        </w:rPr>
        <w:t>estione; nel corso della gestione, permette di verificare l’effettiva disponibilità residua di risorse; a consuntivo, permette le analisi economiche volte al miglioramento dell’efficienza e dell’efficacia della gestione, mediante la comparazione tra le previsioni e i dati di fine esercizio.</w:t>
      </w:r>
    </w:p>
    <w:p w:rsidR="00BF6BC5" w:rsidRDefault="00BF6BC5" w:rsidP="00BF6BC5">
      <w:pPr>
        <w:autoSpaceDE w:val="0"/>
        <w:autoSpaceDN w:val="0"/>
        <w:adjustRightInd w:val="0"/>
        <w:jc w:val="both"/>
        <w:rPr>
          <w:color w:val="000000"/>
        </w:rPr>
      </w:pPr>
    </w:p>
    <w:p w:rsidR="00BF6BC5" w:rsidRDefault="00BF6BC5" w:rsidP="00BF6BC5">
      <w:pPr>
        <w:autoSpaceDE w:val="0"/>
        <w:autoSpaceDN w:val="0"/>
        <w:adjustRightInd w:val="0"/>
        <w:jc w:val="both"/>
        <w:rPr>
          <w:color w:val="000000"/>
        </w:rPr>
      </w:pPr>
    </w:p>
    <w:p w:rsidR="00BF6BC5" w:rsidRDefault="00BF6BC5" w:rsidP="00BF6BC5">
      <w:pPr>
        <w:autoSpaceDE w:val="0"/>
        <w:autoSpaceDN w:val="0"/>
        <w:adjustRightInd w:val="0"/>
        <w:jc w:val="both"/>
        <w:rPr>
          <w:color w:val="000000"/>
        </w:rPr>
      </w:pPr>
    </w:p>
    <w:p w:rsidR="007A5ECC" w:rsidRPr="000F70A0" w:rsidRDefault="007A5ECC" w:rsidP="00503AD7">
      <w:pPr>
        <w:autoSpaceDE w:val="0"/>
        <w:autoSpaceDN w:val="0"/>
        <w:adjustRightInd w:val="0"/>
        <w:jc w:val="both"/>
        <w:rPr>
          <w:color w:val="000000"/>
        </w:rPr>
      </w:pPr>
    </w:p>
    <w:p w:rsidR="007A5ECC" w:rsidRDefault="007A5ECC" w:rsidP="00503AD7">
      <w:pPr>
        <w:autoSpaceDE w:val="0"/>
        <w:autoSpaceDN w:val="0"/>
        <w:adjustRightInd w:val="0"/>
        <w:jc w:val="both"/>
        <w:rPr>
          <w:b/>
          <w:bCs/>
          <w:color w:val="000000"/>
        </w:rPr>
      </w:pPr>
      <w:r w:rsidRPr="000F70A0">
        <w:rPr>
          <w:b/>
          <w:bCs/>
          <w:color w:val="000000"/>
        </w:rPr>
        <w:lastRenderedPageBreak/>
        <w:t>Art. 9 – Organizzazione del sistema contabile</w:t>
      </w:r>
    </w:p>
    <w:p w:rsidR="007A5ECC" w:rsidRPr="000F70A0" w:rsidRDefault="007A5ECC" w:rsidP="00503AD7">
      <w:pPr>
        <w:autoSpaceDE w:val="0"/>
        <w:autoSpaceDN w:val="0"/>
        <w:adjustRightInd w:val="0"/>
        <w:jc w:val="both"/>
        <w:rPr>
          <w:b/>
          <w:bCs/>
          <w:color w:val="000000"/>
        </w:rPr>
      </w:pPr>
    </w:p>
    <w:p w:rsidR="007A5ECC" w:rsidRPr="000F70A0" w:rsidRDefault="007A5ECC" w:rsidP="00503AD7">
      <w:pPr>
        <w:numPr>
          <w:ilvl w:val="0"/>
          <w:numId w:val="6"/>
        </w:numPr>
        <w:tabs>
          <w:tab w:val="clear" w:pos="1440"/>
          <w:tab w:val="num" w:pos="360"/>
        </w:tabs>
        <w:autoSpaceDE w:val="0"/>
        <w:autoSpaceDN w:val="0"/>
        <w:adjustRightInd w:val="0"/>
        <w:ind w:left="360"/>
        <w:jc w:val="both"/>
        <w:rPr>
          <w:color w:val="000000"/>
        </w:rPr>
      </w:pPr>
      <w:r w:rsidRPr="000F70A0">
        <w:rPr>
          <w:color w:val="000000"/>
        </w:rPr>
        <w:t>Il sistema contabile riflette la struttura organizzativa dell’Ateneo attraverso la definizione di entità di imputazione dei risultati della gestione economico-patrimoniale.</w:t>
      </w:r>
    </w:p>
    <w:p w:rsidR="007A5ECC" w:rsidRPr="000F70A0" w:rsidRDefault="007A5ECC" w:rsidP="00503AD7">
      <w:pPr>
        <w:numPr>
          <w:ilvl w:val="0"/>
          <w:numId w:val="6"/>
        </w:numPr>
        <w:tabs>
          <w:tab w:val="clear" w:pos="1440"/>
          <w:tab w:val="num" w:pos="360"/>
        </w:tabs>
        <w:autoSpaceDE w:val="0"/>
        <w:autoSpaceDN w:val="0"/>
        <w:adjustRightInd w:val="0"/>
        <w:ind w:left="360"/>
        <w:jc w:val="both"/>
        <w:rPr>
          <w:color w:val="000000"/>
        </w:rPr>
      </w:pPr>
      <w:r w:rsidRPr="000F70A0">
        <w:rPr>
          <w:color w:val="000000"/>
        </w:rPr>
        <w:t>Le entità di imputazione sono:</w:t>
      </w:r>
    </w:p>
    <w:p w:rsidR="007A5ECC" w:rsidRPr="000F70A0" w:rsidRDefault="007A5ECC" w:rsidP="00503AD7">
      <w:pPr>
        <w:numPr>
          <w:ilvl w:val="1"/>
          <w:numId w:val="6"/>
        </w:numPr>
        <w:tabs>
          <w:tab w:val="left" w:pos="720"/>
        </w:tabs>
        <w:autoSpaceDE w:val="0"/>
        <w:autoSpaceDN w:val="0"/>
        <w:adjustRightInd w:val="0"/>
        <w:ind w:hanging="1080"/>
        <w:jc w:val="both"/>
        <w:rPr>
          <w:color w:val="000000"/>
        </w:rPr>
      </w:pPr>
      <w:r w:rsidRPr="000F70A0">
        <w:rPr>
          <w:color w:val="000000"/>
        </w:rPr>
        <w:t>Centri di costo o provento;</w:t>
      </w:r>
    </w:p>
    <w:p w:rsidR="007A5ECC" w:rsidRPr="000F70A0" w:rsidRDefault="007A5ECC" w:rsidP="00503AD7">
      <w:pPr>
        <w:numPr>
          <w:ilvl w:val="1"/>
          <w:numId w:val="6"/>
        </w:numPr>
        <w:tabs>
          <w:tab w:val="left" w:pos="720"/>
        </w:tabs>
        <w:autoSpaceDE w:val="0"/>
        <w:autoSpaceDN w:val="0"/>
        <w:adjustRightInd w:val="0"/>
        <w:ind w:hanging="1080"/>
        <w:jc w:val="both"/>
        <w:rPr>
          <w:color w:val="000000"/>
        </w:rPr>
      </w:pPr>
      <w:r w:rsidRPr="000F70A0">
        <w:rPr>
          <w:color w:val="000000"/>
        </w:rPr>
        <w:t>Progetti.</w:t>
      </w:r>
    </w:p>
    <w:p w:rsidR="007A5ECC" w:rsidRPr="000F70A0" w:rsidRDefault="007A5ECC" w:rsidP="00503AD7">
      <w:pPr>
        <w:numPr>
          <w:ilvl w:val="2"/>
          <w:numId w:val="6"/>
        </w:numPr>
        <w:tabs>
          <w:tab w:val="clear" w:pos="1440"/>
          <w:tab w:val="num" w:pos="360"/>
        </w:tabs>
        <w:autoSpaceDE w:val="0"/>
        <w:autoSpaceDN w:val="0"/>
        <w:adjustRightInd w:val="0"/>
        <w:ind w:left="360"/>
        <w:jc w:val="both"/>
        <w:rPr>
          <w:color w:val="000000"/>
        </w:rPr>
      </w:pPr>
      <w:r w:rsidRPr="000F70A0">
        <w:rPr>
          <w:color w:val="000000"/>
        </w:rPr>
        <w:t xml:space="preserve">I Centri di costo o provento sono entità contabili cui sono riferiti direttamente costi e proventi relativi o ad unità organizzative formalmente definite, quali i </w:t>
      </w:r>
      <w:r>
        <w:rPr>
          <w:color w:val="000000"/>
        </w:rPr>
        <w:t xml:space="preserve">Dipartimenti e gli altri </w:t>
      </w:r>
      <w:r w:rsidRPr="000F70A0">
        <w:rPr>
          <w:color w:val="000000"/>
        </w:rPr>
        <w:t xml:space="preserve">Centri </w:t>
      </w:r>
      <w:r>
        <w:rPr>
          <w:color w:val="000000"/>
        </w:rPr>
        <w:t xml:space="preserve">autonomi </w:t>
      </w:r>
      <w:r w:rsidRPr="000F70A0">
        <w:rPr>
          <w:color w:val="000000"/>
        </w:rPr>
        <w:t>di Gestione individuate dall’art. 3 del presente Regolamento, oppure ad aggregati di costo e provento utili ai fini della rilevazione analitica di valori contabili che non corrispondono ad unità organizzative reali.</w:t>
      </w:r>
    </w:p>
    <w:p w:rsidR="007A5ECC" w:rsidRDefault="007A5ECC" w:rsidP="00503AD7">
      <w:pPr>
        <w:numPr>
          <w:ilvl w:val="2"/>
          <w:numId w:val="6"/>
        </w:numPr>
        <w:tabs>
          <w:tab w:val="clear" w:pos="1440"/>
          <w:tab w:val="num" w:pos="360"/>
        </w:tabs>
        <w:autoSpaceDE w:val="0"/>
        <w:autoSpaceDN w:val="0"/>
        <w:adjustRightInd w:val="0"/>
        <w:ind w:left="360"/>
        <w:jc w:val="both"/>
        <w:rPr>
          <w:color w:val="000000"/>
        </w:rPr>
      </w:pPr>
      <w:r w:rsidRPr="000F70A0">
        <w:rPr>
          <w:color w:val="000000"/>
        </w:rPr>
        <w:t>I Progetti individuano iniziative temporalmente definite con obiettivi e risorse finanziarie e umane assegnate. I Progetti si riferiscono ad unità organizzative corrispondenti a sezionali di bilancio.</w:t>
      </w:r>
    </w:p>
    <w:p w:rsidR="007A5ECC" w:rsidRPr="000F70A0" w:rsidRDefault="007A5ECC" w:rsidP="00503AD7">
      <w:pPr>
        <w:autoSpaceDE w:val="0"/>
        <w:autoSpaceDN w:val="0"/>
        <w:adjustRightInd w:val="0"/>
        <w:jc w:val="both"/>
        <w:rPr>
          <w:color w:val="000000"/>
        </w:rPr>
      </w:pPr>
    </w:p>
    <w:p w:rsidR="007A5ECC" w:rsidRDefault="007A5ECC" w:rsidP="00503AD7">
      <w:pPr>
        <w:autoSpaceDE w:val="0"/>
        <w:autoSpaceDN w:val="0"/>
        <w:adjustRightInd w:val="0"/>
        <w:jc w:val="both"/>
        <w:rPr>
          <w:b/>
          <w:bCs/>
          <w:color w:val="000000"/>
        </w:rPr>
      </w:pPr>
      <w:r w:rsidRPr="000F70A0">
        <w:rPr>
          <w:b/>
          <w:bCs/>
          <w:color w:val="000000"/>
        </w:rPr>
        <w:t>Art. 10 – Periodi contabili</w:t>
      </w:r>
    </w:p>
    <w:p w:rsidR="007A5ECC" w:rsidRPr="000F70A0" w:rsidRDefault="007A5ECC" w:rsidP="00503AD7">
      <w:pPr>
        <w:autoSpaceDE w:val="0"/>
        <w:autoSpaceDN w:val="0"/>
        <w:adjustRightInd w:val="0"/>
        <w:jc w:val="both"/>
        <w:rPr>
          <w:b/>
          <w:bCs/>
          <w:color w:val="000000"/>
        </w:rPr>
      </w:pPr>
    </w:p>
    <w:p w:rsidR="007A5ECC" w:rsidRPr="000F70A0" w:rsidRDefault="007A5ECC" w:rsidP="00503AD7">
      <w:pPr>
        <w:numPr>
          <w:ilvl w:val="0"/>
          <w:numId w:val="7"/>
        </w:numPr>
        <w:tabs>
          <w:tab w:val="clear" w:pos="1440"/>
          <w:tab w:val="num" w:pos="360"/>
        </w:tabs>
        <w:autoSpaceDE w:val="0"/>
        <w:autoSpaceDN w:val="0"/>
        <w:adjustRightInd w:val="0"/>
        <w:ind w:left="360"/>
        <w:jc w:val="both"/>
        <w:rPr>
          <w:color w:val="000000"/>
        </w:rPr>
      </w:pPr>
      <w:r w:rsidRPr="000F70A0">
        <w:rPr>
          <w:color w:val="000000"/>
        </w:rPr>
        <w:t>L’esercizio ha la durata di un anno e coincide con l’anno solare (1 gennaio - 31 dicembre).</w:t>
      </w:r>
    </w:p>
    <w:p w:rsidR="007A5ECC" w:rsidRPr="000F70A0" w:rsidRDefault="007A5ECC" w:rsidP="00503AD7">
      <w:pPr>
        <w:numPr>
          <w:ilvl w:val="0"/>
          <w:numId w:val="7"/>
        </w:numPr>
        <w:tabs>
          <w:tab w:val="clear" w:pos="1440"/>
          <w:tab w:val="num" w:pos="360"/>
        </w:tabs>
        <w:autoSpaceDE w:val="0"/>
        <w:autoSpaceDN w:val="0"/>
        <w:adjustRightInd w:val="0"/>
        <w:ind w:left="360"/>
        <w:jc w:val="both"/>
        <w:rPr>
          <w:color w:val="000000"/>
        </w:rPr>
      </w:pPr>
      <w:r w:rsidRPr="000F70A0">
        <w:rPr>
          <w:color w:val="000000"/>
        </w:rPr>
        <w:t>In relazione agli scopi delle diverse piattaforme contabili il sistema contabile gestisce:</w:t>
      </w:r>
    </w:p>
    <w:p w:rsidR="007A5ECC" w:rsidRPr="000F70A0" w:rsidRDefault="007A5ECC" w:rsidP="00503AD7">
      <w:pPr>
        <w:numPr>
          <w:ilvl w:val="1"/>
          <w:numId w:val="7"/>
        </w:numPr>
        <w:tabs>
          <w:tab w:val="left" w:pos="720"/>
        </w:tabs>
        <w:autoSpaceDE w:val="0"/>
        <w:autoSpaceDN w:val="0"/>
        <w:adjustRightInd w:val="0"/>
        <w:ind w:hanging="1080"/>
        <w:jc w:val="both"/>
        <w:rPr>
          <w:color w:val="000000"/>
        </w:rPr>
      </w:pPr>
      <w:proofErr w:type="gramStart"/>
      <w:r w:rsidRPr="000F70A0">
        <w:rPr>
          <w:color w:val="000000"/>
        </w:rPr>
        <w:t>il</w:t>
      </w:r>
      <w:proofErr w:type="gramEnd"/>
      <w:r w:rsidRPr="000F70A0">
        <w:rPr>
          <w:color w:val="000000"/>
        </w:rPr>
        <w:t xml:space="preserve"> periodo contabile corrispondente all’esercizio contabile (annualità);</w:t>
      </w:r>
    </w:p>
    <w:p w:rsidR="007A5ECC" w:rsidRPr="000F70A0" w:rsidRDefault="007A5ECC" w:rsidP="00503AD7">
      <w:pPr>
        <w:numPr>
          <w:ilvl w:val="1"/>
          <w:numId w:val="7"/>
        </w:numPr>
        <w:tabs>
          <w:tab w:val="clear" w:pos="1440"/>
        </w:tabs>
        <w:autoSpaceDE w:val="0"/>
        <w:autoSpaceDN w:val="0"/>
        <w:adjustRightInd w:val="0"/>
        <w:ind w:left="720"/>
        <w:jc w:val="both"/>
        <w:rPr>
          <w:color w:val="000000"/>
        </w:rPr>
      </w:pPr>
      <w:proofErr w:type="gramStart"/>
      <w:r w:rsidRPr="000F70A0">
        <w:rPr>
          <w:color w:val="000000"/>
        </w:rPr>
        <w:t>i</w:t>
      </w:r>
      <w:proofErr w:type="gramEnd"/>
      <w:r w:rsidRPr="000F70A0">
        <w:rPr>
          <w:color w:val="000000"/>
        </w:rPr>
        <w:t xml:space="preserve"> periodi contabili corrispondenti a suddivisioni dell’esercizio contabile (</w:t>
      </w:r>
      <w:proofErr w:type="spellStart"/>
      <w:r w:rsidRPr="000F70A0">
        <w:rPr>
          <w:color w:val="000000"/>
        </w:rPr>
        <w:t>infrannualità</w:t>
      </w:r>
      <w:proofErr w:type="spellEnd"/>
      <w:r w:rsidRPr="000F70A0">
        <w:rPr>
          <w:color w:val="000000"/>
        </w:rPr>
        <w:t>);</w:t>
      </w:r>
    </w:p>
    <w:p w:rsidR="007A5ECC" w:rsidRDefault="007A5ECC" w:rsidP="00503AD7">
      <w:pPr>
        <w:numPr>
          <w:ilvl w:val="1"/>
          <w:numId w:val="7"/>
        </w:numPr>
        <w:tabs>
          <w:tab w:val="left" w:pos="720"/>
        </w:tabs>
        <w:autoSpaceDE w:val="0"/>
        <w:autoSpaceDN w:val="0"/>
        <w:adjustRightInd w:val="0"/>
        <w:ind w:hanging="1080"/>
        <w:jc w:val="both"/>
        <w:rPr>
          <w:color w:val="000000"/>
        </w:rPr>
      </w:pPr>
      <w:proofErr w:type="gramStart"/>
      <w:r w:rsidRPr="000F70A0">
        <w:rPr>
          <w:color w:val="000000"/>
        </w:rPr>
        <w:t>i</w:t>
      </w:r>
      <w:proofErr w:type="gramEnd"/>
      <w:r w:rsidRPr="000F70A0">
        <w:rPr>
          <w:color w:val="000000"/>
        </w:rPr>
        <w:t xml:space="preserve"> periodi contabili corrispondenti a più esercizi contabili (</w:t>
      </w:r>
      <w:proofErr w:type="spellStart"/>
      <w:r w:rsidRPr="000F70A0">
        <w:rPr>
          <w:color w:val="000000"/>
        </w:rPr>
        <w:t>pluriennalità</w:t>
      </w:r>
      <w:proofErr w:type="spellEnd"/>
      <w:r w:rsidRPr="000F70A0">
        <w:rPr>
          <w:color w:val="000000"/>
        </w:rPr>
        <w:t>).</w:t>
      </w:r>
    </w:p>
    <w:p w:rsidR="007A5ECC" w:rsidRPr="000F70A0" w:rsidRDefault="007A5ECC" w:rsidP="00503AD7">
      <w:pPr>
        <w:tabs>
          <w:tab w:val="left" w:pos="720"/>
        </w:tabs>
        <w:autoSpaceDE w:val="0"/>
        <w:autoSpaceDN w:val="0"/>
        <w:adjustRightInd w:val="0"/>
        <w:jc w:val="both"/>
        <w:rPr>
          <w:color w:val="000000"/>
        </w:rPr>
      </w:pPr>
    </w:p>
    <w:p w:rsidR="007A5ECC" w:rsidRDefault="007A5ECC" w:rsidP="00503AD7">
      <w:pPr>
        <w:autoSpaceDE w:val="0"/>
        <w:autoSpaceDN w:val="0"/>
        <w:adjustRightInd w:val="0"/>
        <w:jc w:val="both"/>
        <w:rPr>
          <w:b/>
          <w:bCs/>
          <w:color w:val="000000"/>
        </w:rPr>
      </w:pPr>
      <w:r w:rsidRPr="000F70A0">
        <w:rPr>
          <w:b/>
          <w:bCs/>
          <w:color w:val="000000"/>
        </w:rPr>
        <w:t>Art. 11 – Il Piano dei Conti</w:t>
      </w:r>
    </w:p>
    <w:p w:rsidR="007A5ECC" w:rsidRPr="000F70A0" w:rsidRDefault="007A5ECC" w:rsidP="00503AD7">
      <w:pPr>
        <w:autoSpaceDE w:val="0"/>
        <w:autoSpaceDN w:val="0"/>
        <w:adjustRightInd w:val="0"/>
        <w:jc w:val="both"/>
        <w:rPr>
          <w:b/>
          <w:bCs/>
          <w:color w:val="000000"/>
        </w:rPr>
      </w:pPr>
    </w:p>
    <w:p w:rsidR="007A5ECC" w:rsidRPr="000F70A0" w:rsidRDefault="007A5ECC" w:rsidP="00503AD7">
      <w:pPr>
        <w:numPr>
          <w:ilvl w:val="0"/>
          <w:numId w:val="8"/>
        </w:numPr>
        <w:tabs>
          <w:tab w:val="clear" w:pos="1440"/>
          <w:tab w:val="num" w:pos="360"/>
        </w:tabs>
        <w:autoSpaceDE w:val="0"/>
        <w:autoSpaceDN w:val="0"/>
        <w:adjustRightInd w:val="0"/>
        <w:ind w:left="360"/>
        <w:jc w:val="both"/>
        <w:rPr>
          <w:color w:val="000000"/>
        </w:rPr>
      </w:pPr>
      <w:r w:rsidRPr="000F70A0">
        <w:rPr>
          <w:color w:val="000000"/>
        </w:rPr>
        <w:t>Il Piano dei Conti adottato dall’Ateneo è compatibile e coerente con gli schemi di bilancio previsti dalla normativa vigente per le università statali, identifica la natura delle operazioni di acquisizione e impiego delle risorse ed è strutturato in modo tale da garantire le registrazioni di contabilità generale in partita doppia.</w:t>
      </w:r>
    </w:p>
    <w:p w:rsidR="007A5ECC" w:rsidRPr="000F70A0" w:rsidRDefault="007A5ECC" w:rsidP="00503AD7">
      <w:pPr>
        <w:numPr>
          <w:ilvl w:val="0"/>
          <w:numId w:val="8"/>
        </w:numPr>
        <w:tabs>
          <w:tab w:val="clear" w:pos="1440"/>
          <w:tab w:val="num" w:pos="360"/>
        </w:tabs>
        <w:autoSpaceDE w:val="0"/>
        <w:autoSpaceDN w:val="0"/>
        <w:adjustRightInd w:val="0"/>
        <w:ind w:left="360"/>
        <w:jc w:val="both"/>
        <w:rPr>
          <w:color w:val="000000"/>
        </w:rPr>
      </w:pPr>
      <w:r w:rsidRPr="000F70A0">
        <w:rPr>
          <w:color w:val="000000"/>
        </w:rPr>
        <w:t>Il Piano dei Conti della contabilità generale è univocamente associato al Piano dei Conti della contabilità analitica, anche al fine della classificazione in missioni e programmi.</w:t>
      </w:r>
    </w:p>
    <w:p w:rsidR="007A5ECC" w:rsidRPr="000F70A0" w:rsidRDefault="007A5ECC" w:rsidP="00503AD7">
      <w:pPr>
        <w:numPr>
          <w:ilvl w:val="0"/>
          <w:numId w:val="8"/>
        </w:numPr>
        <w:tabs>
          <w:tab w:val="clear" w:pos="1440"/>
          <w:tab w:val="num" w:pos="360"/>
          <w:tab w:val="left" w:pos="720"/>
        </w:tabs>
        <w:autoSpaceDE w:val="0"/>
        <w:autoSpaceDN w:val="0"/>
        <w:adjustRightInd w:val="0"/>
        <w:ind w:left="360"/>
        <w:jc w:val="both"/>
        <w:rPr>
          <w:color w:val="000000"/>
        </w:rPr>
      </w:pPr>
      <w:r w:rsidRPr="000F70A0">
        <w:rPr>
          <w:color w:val="000000"/>
        </w:rPr>
        <w:t>I documenti di sintesi a preventivo e a consuntivo di cui al Capo II del presente Titolo sono aggregazioni del Piano dei Conti.</w:t>
      </w:r>
    </w:p>
    <w:p w:rsidR="007A5ECC" w:rsidRDefault="007A5ECC" w:rsidP="00503AD7">
      <w:pPr>
        <w:numPr>
          <w:ilvl w:val="0"/>
          <w:numId w:val="8"/>
        </w:numPr>
        <w:tabs>
          <w:tab w:val="clear" w:pos="1440"/>
          <w:tab w:val="num" w:pos="360"/>
        </w:tabs>
        <w:autoSpaceDE w:val="0"/>
        <w:autoSpaceDN w:val="0"/>
        <w:adjustRightInd w:val="0"/>
        <w:ind w:left="360"/>
        <w:jc w:val="both"/>
        <w:rPr>
          <w:color w:val="000000"/>
        </w:rPr>
      </w:pPr>
      <w:r w:rsidRPr="000F70A0">
        <w:rPr>
          <w:color w:val="000000"/>
        </w:rPr>
        <w:t>Le modifiche del Piano dei Conti (aggiunte e soppressioni di conti) che non alterino la struttura fissa prevista dalle norme vigenti per le università statali e risultino compatibili e/o necessarie rispetto ai documenti contabili in sede di programmazione annuale e triennale, sono di competenza del Consiglio di Amministrazione. Tali modifiche possono essere proposte anche dal Responsabile della struttura competente per il processo contabile di Ateneo, che costituisce riferimento per eventuali richieste da parte delle unità organizzative in base ad apposita procedura. In ogni caso, comunicazione delle modifiche per la necessaria presa d’atto deve essere fatta alla prima riunione utile del Consiglio di Amministrazione.</w:t>
      </w:r>
    </w:p>
    <w:p w:rsidR="007A5ECC" w:rsidRPr="000F70A0" w:rsidRDefault="007A5ECC" w:rsidP="00503AD7">
      <w:pPr>
        <w:autoSpaceDE w:val="0"/>
        <w:autoSpaceDN w:val="0"/>
        <w:adjustRightInd w:val="0"/>
        <w:jc w:val="both"/>
        <w:rPr>
          <w:color w:val="000000"/>
        </w:rPr>
      </w:pPr>
    </w:p>
    <w:p w:rsidR="007A5ECC" w:rsidRDefault="007A5ECC" w:rsidP="00503AD7">
      <w:pPr>
        <w:tabs>
          <w:tab w:val="left" w:pos="360"/>
        </w:tabs>
        <w:autoSpaceDE w:val="0"/>
        <w:autoSpaceDN w:val="0"/>
        <w:adjustRightInd w:val="0"/>
        <w:jc w:val="both"/>
        <w:rPr>
          <w:b/>
          <w:bCs/>
          <w:color w:val="000000"/>
        </w:rPr>
      </w:pPr>
      <w:r w:rsidRPr="000F70A0">
        <w:rPr>
          <w:b/>
          <w:bCs/>
          <w:color w:val="000000"/>
        </w:rPr>
        <w:t>Art. 12 – Il patrimonio netto e il risultato d’esercizio</w:t>
      </w:r>
    </w:p>
    <w:p w:rsidR="007A5ECC" w:rsidRPr="000F70A0" w:rsidRDefault="007A5ECC" w:rsidP="00503AD7">
      <w:pPr>
        <w:tabs>
          <w:tab w:val="left" w:pos="360"/>
        </w:tabs>
        <w:autoSpaceDE w:val="0"/>
        <w:autoSpaceDN w:val="0"/>
        <w:adjustRightInd w:val="0"/>
        <w:jc w:val="both"/>
        <w:rPr>
          <w:b/>
          <w:bCs/>
          <w:color w:val="000000"/>
        </w:rPr>
      </w:pPr>
    </w:p>
    <w:p w:rsidR="007A5ECC" w:rsidRPr="000F70A0" w:rsidRDefault="007A5ECC" w:rsidP="00503AD7">
      <w:pPr>
        <w:numPr>
          <w:ilvl w:val="0"/>
          <w:numId w:val="9"/>
        </w:numPr>
        <w:tabs>
          <w:tab w:val="left" w:pos="360"/>
        </w:tabs>
        <w:autoSpaceDE w:val="0"/>
        <w:autoSpaceDN w:val="0"/>
        <w:adjustRightInd w:val="0"/>
        <w:ind w:hanging="1440"/>
        <w:jc w:val="both"/>
        <w:rPr>
          <w:color w:val="000000"/>
        </w:rPr>
      </w:pPr>
      <w:r w:rsidRPr="000F70A0">
        <w:rPr>
          <w:color w:val="000000"/>
        </w:rPr>
        <w:t>Il Patrimonio netto è costituito da:</w:t>
      </w:r>
    </w:p>
    <w:p w:rsidR="007A5ECC" w:rsidRPr="000F70A0" w:rsidRDefault="007A5ECC" w:rsidP="00503AD7">
      <w:pPr>
        <w:numPr>
          <w:ilvl w:val="1"/>
          <w:numId w:val="9"/>
        </w:numPr>
        <w:tabs>
          <w:tab w:val="left" w:pos="360"/>
          <w:tab w:val="left" w:pos="720"/>
        </w:tabs>
        <w:autoSpaceDE w:val="0"/>
        <w:autoSpaceDN w:val="0"/>
        <w:adjustRightInd w:val="0"/>
        <w:ind w:hanging="1080"/>
        <w:jc w:val="both"/>
        <w:rPr>
          <w:color w:val="000000"/>
        </w:rPr>
      </w:pPr>
      <w:proofErr w:type="gramStart"/>
      <w:r w:rsidRPr="000F70A0">
        <w:rPr>
          <w:color w:val="000000"/>
        </w:rPr>
        <w:t>fondo</w:t>
      </w:r>
      <w:proofErr w:type="gramEnd"/>
      <w:r w:rsidRPr="000F70A0">
        <w:rPr>
          <w:color w:val="000000"/>
        </w:rPr>
        <w:t xml:space="preserve"> di dotazione;</w:t>
      </w:r>
    </w:p>
    <w:p w:rsidR="007A5ECC" w:rsidRPr="000F70A0" w:rsidRDefault="007A5ECC" w:rsidP="00503AD7">
      <w:pPr>
        <w:numPr>
          <w:ilvl w:val="1"/>
          <w:numId w:val="9"/>
        </w:numPr>
        <w:tabs>
          <w:tab w:val="left" w:pos="360"/>
          <w:tab w:val="left" w:pos="720"/>
        </w:tabs>
        <w:autoSpaceDE w:val="0"/>
        <w:autoSpaceDN w:val="0"/>
        <w:adjustRightInd w:val="0"/>
        <w:ind w:hanging="1080"/>
        <w:jc w:val="both"/>
        <w:rPr>
          <w:color w:val="000000"/>
        </w:rPr>
      </w:pPr>
      <w:proofErr w:type="gramStart"/>
      <w:r w:rsidRPr="000F70A0">
        <w:rPr>
          <w:color w:val="000000"/>
        </w:rPr>
        <w:t>patrimonio</w:t>
      </w:r>
      <w:proofErr w:type="gramEnd"/>
      <w:r w:rsidRPr="000F70A0">
        <w:rPr>
          <w:color w:val="000000"/>
        </w:rPr>
        <w:t xml:space="preserve"> vincolato;</w:t>
      </w:r>
    </w:p>
    <w:p w:rsidR="007A5ECC" w:rsidRPr="000F70A0" w:rsidRDefault="007A5ECC" w:rsidP="00503AD7">
      <w:pPr>
        <w:numPr>
          <w:ilvl w:val="1"/>
          <w:numId w:val="9"/>
        </w:numPr>
        <w:tabs>
          <w:tab w:val="left" w:pos="360"/>
          <w:tab w:val="left" w:pos="720"/>
        </w:tabs>
        <w:autoSpaceDE w:val="0"/>
        <w:autoSpaceDN w:val="0"/>
        <w:adjustRightInd w:val="0"/>
        <w:ind w:hanging="1080"/>
        <w:jc w:val="both"/>
        <w:rPr>
          <w:color w:val="000000"/>
        </w:rPr>
      </w:pPr>
      <w:proofErr w:type="gramStart"/>
      <w:r w:rsidRPr="000F70A0">
        <w:rPr>
          <w:color w:val="000000"/>
        </w:rPr>
        <w:t>patrimonio</w:t>
      </w:r>
      <w:proofErr w:type="gramEnd"/>
      <w:r w:rsidRPr="000F70A0">
        <w:rPr>
          <w:color w:val="000000"/>
        </w:rPr>
        <w:t xml:space="preserve"> non vincolato.</w:t>
      </w:r>
    </w:p>
    <w:p w:rsidR="007A5ECC" w:rsidRPr="000F70A0" w:rsidRDefault="007A5ECC" w:rsidP="00503AD7">
      <w:pPr>
        <w:numPr>
          <w:ilvl w:val="0"/>
          <w:numId w:val="9"/>
        </w:numPr>
        <w:tabs>
          <w:tab w:val="clear" w:pos="1440"/>
          <w:tab w:val="num" w:pos="360"/>
        </w:tabs>
        <w:autoSpaceDE w:val="0"/>
        <w:autoSpaceDN w:val="0"/>
        <w:adjustRightInd w:val="0"/>
        <w:ind w:left="360"/>
        <w:jc w:val="both"/>
        <w:rPr>
          <w:color w:val="000000"/>
        </w:rPr>
      </w:pPr>
      <w:r w:rsidRPr="000F70A0">
        <w:rPr>
          <w:color w:val="000000"/>
        </w:rPr>
        <w:lastRenderedPageBreak/>
        <w:t>Il fondo di dotazione, derivante dall’implementazione della contabilità economico-patrimoniale, rappresenta la differenza tra attivo e passivo di Stato Patrimoniale al netto delle poste costituenti patrimonio vincolato, determinate in modo analitico all’atto della formazione dello Stato Patrimoniale iniziale. Il fondo di dotazione, anche scomposto in riserve di patrimonio – statutarie e non – può essere variato in aumento o in diminuzione, previa delibera del Consiglio di Amministrazione.</w:t>
      </w:r>
    </w:p>
    <w:p w:rsidR="007A5ECC" w:rsidRPr="000F70A0" w:rsidRDefault="007A5ECC" w:rsidP="00503AD7">
      <w:pPr>
        <w:numPr>
          <w:ilvl w:val="0"/>
          <w:numId w:val="9"/>
        </w:numPr>
        <w:tabs>
          <w:tab w:val="clear" w:pos="1440"/>
          <w:tab w:val="num" w:pos="360"/>
        </w:tabs>
        <w:autoSpaceDE w:val="0"/>
        <w:autoSpaceDN w:val="0"/>
        <w:adjustRightInd w:val="0"/>
        <w:ind w:left="360"/>
        <w:jc w:val="both"/>
        <w:rPr>
          <w:color w:val="000000"/>
        </w:rPr>
      </w:pPr>
      <w:r w:rsidRPr="000F70A0">
        <w:rPr>
          <w:color w:val="000000"/>
        </w:rPr>
        <w:t>Il patrimonio vincolato è composto da fondi, riserve e contributi in conto capitale, vincolati per scelte degli organi di governo dell’Ateneo o per indicazione operata da terzi finanziatori, antecedenti all’introduzione della contabilità generale (salvo se eventualmente inseriti fra i risconti passivi).</w:t>
      </w:r>
    </w:p>
    <w:p w:rsidR="007A5ECC" w:rsidRPr="000F70A0" w:rsidRDefault="007A5ECC" w:rsidP="00503AD7">
      <w:pPr>
        <w:numPr>
          <w:ilvl w:val="0"/>
          <w:numId w:val="9"/>
        </w:numPr>
        <w:tabs>
          <w:tab w:val="clear" w:pos="1440"/>
          <w:tab w:val="num" w:pos="360"/>
        </w:tabs>
        <w:autoSpaceDE w:val="0"/>
        <w:autoSpaceDN w:val="0"/>
        <w:adjustRightInd w:val="0"/>
        <w:ind w:left="360"/>
        <w:jc w:val="both"/>
        <w:rPr>
          <w:color w:val="000000"/>
        </w:rPr>
      </w:pPr>
      <w:r w:rsidRPr="000F70A0">
        <w:rPr>
          <w:color w:val="000000"/>
        </w:rPr>
        <w:t>Il patrimonio vincolato è altresì composto da fondi e riserve vincolati per scelte degli organi di governo dell’Ateneo assunte nel corso della gestione successiva all’introduzione delle scritture contabili, ivi compreso il vincolo degli eventuali risultati utili positivi.</w:t>
      </w:r>
    </w:p>
    <w:p w:rsidR="007A5ECC" w:rsidRPr="000F70A0" w:rsidRDefault="007A5ECC" w:rsidP="00503AD7">
      <w:pPr>
        <w:numPr>
          <w:ilvl w:val="0"/>
          <w:numId w:val="9"/>
        </w:numPr>
        <w:tabs>
          <w:tab w:val="clear" w:pos="1440"/>
          <w:tab w:val="num" w:pos="360"/>
        </w:tabs>
        <w:autoSpaceDE w:val="0"/>
        <w:autoSpaceDN w:val="0"/>
        <w:adjustRightInd w:val="0"/>
        <w:ind w:left="360"/>
        <w:jc w:val="both"/>
        <w:rPr>
          <w:color w:val="000000"/>
        </w:rPr>
      </w:pPr>
      <w:r w:rsidRPr="000F70A0">
        <w:rPr>
          <w:color w:val="000000"/>
        </w:rPr>
        <w:t>Il patrimonio non vincolato è costituito dal risultato gestionale dell’esercizio, dalle riserve libere derivanti dai risultati relativi ad esercizi precedenti e dalle riserve statutarie non costituenti riserve vincolate o componenti del fondo di dotazione.</w:t>
      </w:r>
    </w:p>
    <w:p w:rsidR="007A5ECC" w:rsidRPr="000F70A0" w:rsidRDefault="007A5ECC" w:rsidP="00503AD7">
      <w:pPr>
        <w:numPr>
          <w:ilvl w:val="0"/>
          <w:numId w:val="9"/>
        </w:numPr>
        <w:tabs>
          <w:tab w:val="clear" w:pos="1440"/>
          <w:tab w:val="num" w:pos="360"/>
        </w:tabs>
        <w:autoSpaceDE w:val="0"/>
        <w:autoSpaceDN w:val="0"/>
        <w:adjustRightInd w:val="0"/>
        <w:ind w:left="360"/>
        <w:jc w:val="both"/>
        <w:rPr>
          <w:color w:val="000000"/>
        </w:rPr>
      </w:pPr>
      <w:r w:rsidRPr="000F70A0">
        <w:rPr>
          <w:color w:val="000000"/>
        </w:rPr>
        <w:t>Al termine dell’esercizio, in caso di risultato economico negativo, il Consiglio di Amministrazione deve adottare, per il suo ripianamento, una o più fra le seguenti misure:</w:t>
      </w:r>
    </w:p>
    <w:p w:rsidR="007A5ECC" w:rsidRPr="000F70A0" w:rsidRDefault="007A5ECC" w:rsidP="00503AD7">
      <w:pPr>
        <w:numPr>
          <w:ilvl w:val="1"/>
          <w:numId w:val="9"/>
        </w:numPr>
        <w:tabs>
          <w:tab w:val="clear" w:pos="1440"/>
          <w:tab w:val="num" w:pos="720"/>
        </w:tabs>
        <w:autoSpaceDE w:val="0"/>
        <w:autoSpaceDN w:val="0"/>
        <w:adjustRightInd w:val="0"/>
        <w:ind w:left="720"/>
        <w:jc w:val="both"/>
        <w:rPr>
          <w:color w:val="000000"/>
        </w:rPr>
      </w:pPr>
      <w:proofErr w:type="gramStart"/>
      <w:r w:rsidRPr="000F70A0">
        <w:rPr>
          <w:color w:val="000000"/>
        </w:rPr>
        <w:t>utilizzare</w:t>
      </w:r>
      <w:proofErr w:type="gramEnd"/>
      <w:r w:rsidRPr="000F70A0">
        <w:rPr>
          <w:color w:val="000000"/>
        </w:rPr>
        <w:t xml:space="preserve"> eventuali riserve appositamente vincolate;</w:t>
      </w:r>
    </w:p>
    <w:p w:rsidR="007A5ECC" w:rsidRPr="000F70A0" w:rsidRDefault="007A5ECC" w:rsidP="00503AD7">
      <w:pPr>
        <w:numPr>
          <w:ilvl w:val="1"/>
          <w:numId w:val="9"/>
        </w:numPr>
        <w:tabs>
          <w:tab w:val="clear" w:pos="1440"/>
          <w:tab w:val="num" w:pos="720"/>
        </w:tabs>
        <w:autoSpaceDE w:val="0"/>
        <w:autoSpaceDN w:val="0"/>
        <w:adjustRightInd w:val="0"/>
        <w:ind w:left="720"/>
        <w:jc w:val="both"/>
        <w:rPr>
          <w:color w:val="000000"/>
        </w:rPr>
      </w:pPr>
      <w:proofErr w:type="gramStart"/>
      <w:r w:rsidRPr="000F70A0">
        <w:rPr>
          <w:color w:val="000000"/>
        </w:rPr>
        <w:t>utilizzare</w:t>
      </w:r>
      <w:proofErr w:type="gramEnd"/>
      <w:r w:rsidRPr="000F70A0">
        <w:rPr>
          <w:color w:val="000000"/>
        </w:rPr>
        <w:t xml:space="preserve"> il patrimonio non vincolato, se capiente;</w:t>
      </w:r>
    </w:p>
    <w:p w:rsidR="007A5ECC" w:rsidRPr="000F70A0" w:rsidRDefault="007A5ECC" w:rsidP="00503AD7">
      <w:pPr>
        <w:numPr>
          <w:ilvl w:val="1"/>
          <w:numId w:val="9"/>
        </w:numPr>
        <w:tabs>
          <w:tab w:val="clear" w:pos="1440"/>
          <w:tab w:val="num" w:pos="720"/>
        </w:tabs>
        <w:autoSpaceDE w:val="0"/>
        <w:autoSpaceDN w:val="0"/>
        <w:adjustRightInd w:val="0"/>
        <w:ind w:left="720"/>
        <w:jc w:val="both"/>
        <w:rPr>
          <w:color w:val="000000"/>
        </w:rPr>
      </w:pPr>
      <w:proofErr w:type="gramStart"/>
      <w:r w:rsidRPr="000F70A0">
        <w:rPr>
          <w:color w:val="000000"/>
        </w:rPr>
        <w:t>identificare</w:t>
      </w:r>
      <w:proofErr w:type="gramEnd"/>
      <w:r w:rsidRPr="000F70A0">
        <w:rPr>
          <w:color w:val="000000"/>
        </w:rPr>
        <w:t xml:space="preserve"> delle fonti di copertura di natura straordinaria;</w:t>
      </w:r>
    </w:p>
    <w:p w:rsidR="007A5ECC" w:rsidRPr="000F70A0" w:rsidRDefault="007A5ECC" w:rsidP="00503AD7">
      <w:pPr>
        <w:numPr>
          <w:ilvl w:val="1"/>
          <w:numId w:val="9"/>
        </w:numPr>
        <w:tabs>
          <w:tab w:val="clear" w:pos="1440"/>
          <w:tab w:val="num" w:pos="720"/>
        </w:tabs>
        <w:autoSpaceDE w:val="0"/>
        <w:autoSpaceDN w:val="0"/>
        <w:adjustRightInd w:val="0"/>
        <w:ind w:left="720"/>
        <w:jc w:val="both"/>
        <w:rPr>
          <w:color w:val="000000"/>
        </w:rPr>
      </w:pPr>
      <w:proofErr w:type="gramStart"/>
      <w:r w:rsidRPr="000F70A0">
        <w:rPr>
          <w:color w:val="000000"/>
        </w:rPr>
        <w:t>formalizzare</w:t>
      </w:r>
      <w:proofErr w:type="gramEnd"/>
      <w:r w:rsidRPr="000F70A0">
        <w:rPr>
          <w:color w:val="000000"/>
        </w:rPr>
        <w:t xml:space="preserve"> un piano di rientro da realizzarsi entro l’esercizio successivo a quello in perdita, fatto salvo l’obbligo di adottare, in caso di necessità, le misure previste dalla normativa vigente sul dissesto finanziario.</w:t>
      </w:r>
    </w:p>
    <w:p w:rsidR="007A5ECC" w:rsidRDefault="007A5ECC" w:rsidP="00503AD7">
      <w:pPr>
        <w:numPr>
          <w:ilvl w:val="0"/>
          <w:numId w:val="9"/>
        </w:numPr>
        <w:tabs>
          <w:tab w:val="clear" w:pos="1440"/>
          <w:tab w:val="num" w:pos="360"/>
        </w:tabs>
        <w:autoSpaceDE w:val="0"/>
        <w:autoSpaceDN w:val="0"/>
        <w:adjustRightInd w:val="0"/>
        <w:ind w:left="360"/>
        <w:jc w:val="both"/>
        <w:rPr>
          <w:color w:val="000000"/>
        </w:rPr>
      </w:pPr>
      <w:r w:rsidRPr="000F70A0">
        <w:rPr>
          <w:color w:val="000000"/>
        </w:rPr>
        <w:t>I contenuti di dettaglio del Patrimonio netto di ciascun esercizio sono specificati nella Nota Integrativa del bilancio d’esercizio.</w:t>
      </w:r>
    </w:p>
    <w:p w:rsidR="007A5ECC" w:rsidRPr="000F70A0" w:rsidRDefault="007A5ECC" w:rsidP="00503AD7">
      <w:pPr>
        <w:autoSpaceDE w:val="0"/>
        <w:autoSpaceDN w:val="0"/>
        <w:adjustRightInd w:val="0"/>
        <w:jc w:val="both"/>
        <w:rPr>
          <w:color w:val="000000"/>
        </w:rPr>
      </w:pPr>
    </w:p>
    <w:p w:rsidR="007A5ECC" w:rsidRDefault="007A5ECC" w:rsidP="00503AD7">
      <w:pPr>
        <w:autoSpaceDE w:val="0"/>
        <w:autoSpaceDN w:val="0"/>
        <w:adjustRightInd w:val="0"/>
        <w:jc w:val="both"/>
        <w:rPr>
          <w:b/>
          <w:bCs/>
          <w:color w:val="000000"/>
        </w:rPr>
      </w:pPr>
      <w:r w:rsidRPr="000F70A0">
        <w:rPr>
          <w:b/>
          <w:bCs/>
          <w:color w:val="000000"/>
        </w:rPr>
        <w:t>Art. 13 – Gestione economico-finanziaria degli investimenti</w:t>
      </w:r>
    </w:p>
    <w:p w:rsidR="007A5ECC" w:rsidRPr="000F70A0" w:rsidRDefault="007A5ECC" w:rsidP="00503AD7">
      <w:pPr>
        <w:autoSpaceDE w:val="0"/>
        <w:autoSpaceDN w:val="0"/>
        <w:adjustRightInd w:val="0"/>
        <w:jc w:val="both"/>
        <w:rPr>
          <w:b/>
          <w:bCs/>
          <w:color w:val="000000"/>
        </w:rPr>
      </w:pPr>
    </w:p>
    <w:p w:rsidR="007A5ECC" w:rsidRPr="000F70A0" w:rsidRDefault="007A5ECC" w:rsidP="00503AD7">
      <w:pPr>
        <w:numPr>
          <w:ilvl w:val="0"/>
          <w:numId w:val="10"/>
        </w:numPr>
        <w:tabs>
          <w:tab w:val="clear" w:pos="1440"/>
          <w:tab w:val="num" w:pos="360"/>
        </w:tabs>
        <w:autoSpaceDE w:val="0"/>
        <w:autoSpaceDN w:val="0"/>
        <w:adjustRightInd w:val="0"/>
        <w:ind w:left="360"/>
        <w:jc w:val="both"/>
        <w:rPr>
          <w:color w:val="000000"/>
        </w:rPr>
      </w:pPr>
      <w:r w:rsidRPr="000F70A0">
        <w:rPr>
          <w:color w:val="000000"/>
        </w:rPr>
        <w:t>Il budget unico degli investimenti di cui all’art. 15, riporta l’ammontare degli investimenti previsti nell’esercizio e la copertura finanziaria necessaria.</w:t>
      </w:r>
    </w:p>
    <w:p w:rsidR="007A5ECC" w:rsidRPr="000F70A0" w:rsidRDefault="007A5ECC" w:rsidP="00503AD7">
      <w:pPr>
        <w:numPr>
          <w:ilvl w:val="0"/>
          <w:numId w:val="10"/>
        </w:numPr>
        <w:tabs>
          <w:tab w:val="clear" w:pos="1440"/>
          <w:tab w:val="num" w:pos="360"/>
          <w:tab w:val="num" w:pos="900"/>
        </w:tabs>
        <w:autoSpaceDE w:val="0"/>
        <w:autoSpaceDN w:val="0"/>
        <w:adjustRightInd w:val="0"/>
        <w:ind w:left="360"/>
        <w:jc w:val="both"/>
        <w:rPr>
          <w:color w:val="000000"/>
        </w:rPr>
      </w:pPr>
      <w:r w:rsidRPr="000F70A0">
        <w:rPr>
          <w:color w:val="000000"/>
        </w:rPr>
        <w:t>La copertura finanziaria dell’investimento deve avvenire mediante:</w:t>
      </w:r>
    </w:p>
    <w:p w:rsidR="007A5ECC" w:rsidRPr="000F70A0" w:rsidRDefault="007A5ECC" w:rsidP="00503AD7">
      <w:pPr>
        <w:numPr>
          <w:ilvl w:val="1"/>
          <w:numId w:val="10"/>
        </w:numPr>
        <w:tabs>
          <w:tab w:val="clear" w:pos="1440"/>
          <w:tab w:val="num" w:pos="720"/>
          <w:tab w:val="num" w:pos="900"/>
        </w:tabs>
        <w:autoSpaceDE w:val="0"/>
        <w:autoSpaceDN w:val="0"/>
        <w:adjustRightInd w:val="0"/>
        <w:ind w:left="720"/>
        <w:jc w:val="both"/>
        <w:rPr>
          <w:color w:val="000000"/>
        </w:rPr>
      </w:pPr>
      <w:proofErr w:type="gramStart"/>
      <w:r w:rsidRPr="000F70A0">
        <w:rPr>
          <w:color w:val="000000"/>
        </w:rPr>
        <w:t>l’utilizzo</w:t>
      </w:r>
      <w:proofErr w:type="gramEnd"/>
      <w:r w:rsidRPr="000F70A0">
        <w:rPr>
          <w:color w:val="000000"/>
        </w:rPr>
        <w:t xml:space="preserve"> dei risultati di gestione degli esercizi precedenti, nella misura in cui tali risultati hanno generato flussi di liquidità non precedentemente impiegati;</w:t>
      </w:r>
    </w:p>
    <w:p w:rsidR="007A5ECC" w:rsidRPr="000F70A0" w:rsidRDefault="007A5ECC" w:rsidP="00503AD7">
      <w:pPr>
        <w:numPr>
          <w:ilvl w:val="1"/>
          <w:numId w:val="10"/>
        </w:numPr>
        <w:tabs>
          <w:tab w:val="clear" w:pos="1440"/>
          <w:tab w:val="num" w:pos="720"/>
          <w:tab w:val="num" w:pos="900"/>
        </w:tabs>
        <w:autoSpaceDE w:val="0"/>
        <w:autoSpaceDN w:val="0"/>
        <w:adjustRightInd w:val="0"/>
        <w:ind w:left="720"/>
        <w:jc w:val="both"/>
        <w:rPr>
          <w:color w:val="000000"/>
        </w:rPr>
      </w:pPr>
      <w:proofErr w:type="gramStart"/>
      <w:r w:rsidRPr="000F70A0">
        <w:rPr>
          <w:color w:val="000000"/>
        </w:rPr>
        <w:t>l’utilizzo</w:t>
      </w:r>
      <w:proofErr w:type="gramEnd"/>
      <w:r w:rsidRPr="000F70A0">
        <w:rPr>
          <w:color w:val="000000"/>
        </w:rPr>
        <w:t xml:space="preserve"> del risultato di gestione stimato per l’esercizio in cui si prevede di effettuare l’investimento, nella misura in cui tale risultato genererà risorse finanziarie non altrimenti consumate;</w:t>
      </w:r>
    </w:p>
    <w:p w:rsidR="007A5ECC" w:rsidRPr="000F70A0" w:rsidRDefault="007A5ECC" w:rsidP="00503AD7">
      <w:pPr>
        <w:numPr>
          <w:ilvl w:val="1"/>
          <w:numId w:val="10"/>
        </w:numPr>
        <w:tabs>
          <w:tab w:val="clear" w:pos="1440"/>
          <w:tab w:val="num" w:pos="720"/>
          <w:tab w:val="num" w:pos="900"/>
        </w:tabs>
        <w:autoSpaceDE w:val="0"/>
        <w:autoSpaceDN w:val="0"/>
        <w:adjustRightInd w:val="0"/>
        <w:ind w:left="720"/>
        <w:jc w:val="both"/>
        <w:rPr>
          <w:color w:val="000000"/>
        </w:rPr>
      </w:pPr>
      <w:proofErr w:type="gramStart"/>
      <w:r w:rsidRPr="000F70A0">
        <w:rPr>
          <w:color w:val="000000"/>
        </w:rPr>
        <w:t>l’utilizzo</w:t>
      </w:r>
      <w:proofErr w:type="gramEnd"/>
      <w:r w:rsidRPr="000F70A0">
        <w:rPr>
          <w:color w:val="000000"/>
        </w:rPr>
        <w:t xml:space="preserve"> di risorse a debito;</w:t>
      </w:r>
    </w:p>
    <w:p w:rsidR="007A5ECC" w:rsidRPr="000F70A0" w:rsidRDefault="007A5ECC" w:rsidP="00503AD7">
      <w:pPr>
        <w:numPr>
          <w:ilvl w:val="1"/>
          <w:numId w:val="10"/>
        </w:numPr>
        <w:tabs>
          <w:tab w:val="clear" w:pos="1440"/>
          <w:tab w:val="num" w:pos="720"/>
          <w:tab w:val="num" w:pos="900"/>
        </w:tabs>
        <w:autoSpaceDE w:val="0"/>
        <w:autoSpaceDN w:val="0"/>
        <w:adjustRightInd w:val="0"/>
        <w:ind w:left="720"/>
        <w:jc w:val="both"/>
        <w:rPr>
          <w:color w:val="000000"/>
        </w:rPr>
      </w:pPr>
      <w:proofErr w:type="gramStart"/>
      <w:r w:rsidRPr="000F70A0">
        <w:rPr>
          <w:color w:val="000000"/>
        </w:rPr>
        <w:t>disinvestimento</w:t>
      </w:r>
      <w:proofErr w:type="gramEnd"/>
      <w:r w:rsidRPr="000F70A0">
        <w:rPr>
          <w:color w:val="000000"/>
        </w:rPr>
        <w:t xml:space="preserve"> tramite alienazione onerosa di immobilizzazioni del patrimonio di proprietà dell’Ateneo e l’utilizzo della liquidità derivante; in particolare il disinvestimento tramite alienazione onerosa di terreni e fabbricati e l’utilizzo della liquidità derivante, può essere effettuato sentito il parere del Senato Accademico.</w:t>
      </w:r>
    </w:p>
    <w:p w:rsidR="007A5ECC" w:rsidRPr="000F70A0" w:rsidRDefault="007A5ECC" w:rsidP="00503AD7">
      <w:pPr>
        <w:numPr>
          <w:ilvl w:val="0"/>
          <w:numId w:val="10"/>
        </w:numPr>
        <w:tabs>
          <w:tab w:val="clear" w:pos="1440"/>
          <w:tab w:val="num" w:pos="360"/>
        </w:tabs>
        <w:autoSpaceDE w:val="0"/>
        <w:autoSpaceDN w:val="0"/>
        <w:adjustRightInd w:val="0"/>
        <w:ind w:left="360"/>
        <w:jc w:val="both"/>
        <w:rPr>
          <w:color w:val="000000"/>
        </w:rPr>
      </w:pPr>
      <w:r w:rsidRPr="000F70A0">
        <w:rPr>
          <w:color w:val="000000"/>
        </w:rPr>
        <w:t>Al termine dell’esercizio, in caso di differenza tra disponibilità di finanziamenti e investimenti programmati nell’anno, il Consiglio di Amministrazione, anche su proposta del singolo Centro di Gestione ovvero della Struttura dirigenziale, può deliberare che l’eventuale maggiore disponibilità finanziaria rispetto a quanto previsto sia destinata a ulteriori programmi di investimento negli esercizi successivi.</w:t>
      </w:r>
    </w:p>
    <w:p w:rsidR="007A5ECC" w:rsidRDefault="007A5ECC" w:rsidP="00503AD7">
      <w:pPr>
        <w:numPr>
          <w:ilvl w:val="0"/>
          <w:numId w:val="10"/>
        </w:numPr>
        <w:tabs>
          <w:tab w:val="clear" w:pos="1440"/>
          <w:tab w:val="num" w:pos="360"/>
        </w:tabs>
        <w:autoSpaceDE w:val="0"/>
        <w:autoSpaceDN w:val="0"/>
        <w:adjustRightInd w:val="0"/>
        <w:ind w:left="360"/>
        <w:jc w:val="both"/>
        <w:rPr>
          <w:color w:val="000000"/>
        </w:rPr>
      </w:pPr>
      <w:r w:rsidRPr="000F70A0">
        <w:rPr>
          <w:color w:val="000000"/>
        </w:rPr>
        <w:t xml:space="preserve">Eventuali maggiori oneri per investimenti imprevisti che emergessero nel corso dell’esercizio, richiedono l’indicazione delle risorse finanziarie aggiuntive necessarie alla loro copertura e/o </w:t>
      </w:r>
      <w:r w:rsidRPr="000F70A0">
        <w:rPr>
          <w:color w:val="000000"/>
        </w:rPr>
        <w:lastRenderedPageBreak/>
        <w:t>una riduzione degli investimenti programmati. Tali variazioni sono approvate dal Consiglio di Amministrazione su proposta del Rettore.</w:t>
      </w:r>
    </w:p>
    <w:p w:rsidR="007A5ECC" w:rsidRDefault="007A5ECC" w:rsidP="00503AD7">
      <w:pPr>
        <w:autoSpaceDE w:val="0"/>
        <w:autoSpaceDN w:val="0"/>
        <w:adjustRightInd w:val="0"/>
        <w:jc w:val="both"/>
        <w:rPr>
          <w:color w:val="000000"/>
        </w:rPr>
      </w:pPr>
    </w:p>
    <w:p w:rsidR="00BF6BC5" w:rsidRPr="000F70A0" w:rsidRDefault="00BF6BC5" w:rsidP="00503AD7">
      <w:pPr>
        <w:autoSpaceDE w:val="0"/>
        <w:autoSpaceDN w:val="0"/>
        <w:adjustRightInd w:val="0"/>
        <w:jc w:val="both"/>
        <w:rPr>
          <w:color w:val="000000"/>
        </w:rPr>
      </w:pPr>
    </w:p>
    <w:p w:rsidR="007A5ECC" w:rsidRDefault="007A5ECC" w:rsidP="00503AD7">
      <w:pPr>
        <w:autoSpaceDE w:val="0"/>
        <w:autoSpaceDN w:val="0"/>
        <w:adjustRightInd w:val="0"/>
        <w:jc w:val="center"/>
        <w:rPr>
          <w:b/>
          <w:bCs/>
          <w:color w:val="000000"/>
        </w:rPr>
      </w:pPr>
      <w:r w:rsidRPr="00503AD7">
        <w:rPr>
          <w:b/>
          <w:bCs/>
          <w:color w:val="000000"/>
        </w:rPr>
        <w:t>CAPO II – DOCUMENTI CONTABILI DI SINTESI</w:t>
      </w:r>
    </w:p>
    <w:p w:rsidR="007A5ECC" w:rsidRPr="00503AD7" w:rsidRDefault="007A5ECC" w:rsidP="00503AD7">
      <w:pPr>
        <w:autoSpaceDE w:val="0"/>
        <w:autoSpaceDN w:val="0"/>
        <w:adjustRightInd w:val="0"/>
        <w:jc w:val="center"/>
        <w:rPr>
          <w:b/>
          <w:bCs/>
          <w:color w:val="000000"/>
        </w:rPr>
      </w:pPr>
    </w:p>
    <w:p w:rsidR="007A5ECC" w:rsidRPr="000F70A0" w:rsidRDefault="007A5ECC" w:rsidP="00503AD7">
      <w:pPr>
        <w:autoSpaceDE w:val="0"/>
        <w:autoSpaceDN w:val="0"/>
        <w:adjustRightInd w:val="0"/>
        <w:jc w:val="both"/>
        <w:rPr>
          <w:b/>
          <w:bCs/>
          <w:color w:val="000000"/>
        </w:rPr>
      </w:pPr>
      <w:r w:rsidRPr="000F70A0">
        <w:rPr>
          <w:b/>
          <w:bCs/>
          <w:color w:val="000000"/>
        </w:rPr>
        <w:t>Art. 14 – Documenti contabili di sintesi</w:t>
      </w:r>
    </w:p>
    <w:p w:rsidR="007A5ECC" w:rsidRPr="000F70A0" w:rsidRDefault="007A5ECC" w:rsidP="00503AD7">
      <w:pPr>
        <w:numPr>
          <w:ilvl w:val="0"/>
          <w:numId w:val="11"/>
        </w:numPr>
        <w:tabs>
          <w:tab w:val="clear" w:pos="1440"/>
          <w:tab w:val="num" w:pos="360"/>
        </w:tabs>
        <w:autoSpaceDE w:val="0"/>
        <w:autoSpaceDN w:val="0"/>
        <w:adjustRightInd w:val="0"/>
        <w:ind w:left="360"/>
        <w:jc w:val="both"/>
        <w:rPr>
          <w:color w:val="000000"/>
        </w:rPr>
      </w:pPr>
      <w:r w:rsidRPr="000F70A0">
        <w:rPr>
          <w:color w:val="000000"/>
        </w:rPr>
        <w:t>I documenti contabili di sintesi si dividono in due categorie: documenti pubblici e documenti gestionali. Entrambe le categorie di documenti vengono predisposte a preventivo e a consuntivo.</w:t>
      </w:r>
    </w:p>
    <w:p w:rsidR="007A5ECC" w:rsidRDefault="007A5ECC" w:rsidP="00503AD7">
      <w:pPr>
        <w:numPr>
          <w:ilvl w:val="0"/>
          <w:numId w:val="11"/>
        </w:numPr>
        <w:tabs>
          <w:tab w:val="clear" w:pos="1440"/>
          <w:tab w:val="num" w:pos="360"/>
        </w:tabs>
        <w:autoSpaceDE w:val="0"/>
        <w:autoSpaceDN w:val="0"/>
        <w:adjustRightInd w:val="0"/>
        <w:ind w:left="360"/>
        <w:jc w:val="both"/>
        <w:rPr>
          <w:color w:val="000000"/>
        </w:rPr>
      </w:pPr>
      <w:r w:rsidRPr="000F70A0">
        <w:rPr>
          <w:color w:val="000000"/>
        </w:rPr>
        <w:t>I documenti contabili pubblici hanno valenza informativa sia interna sia esterna e sono caratterizzati da un iter di formazione e da regole di approvazione specifici, delineati nel presente Regolamento e dettagliati nel Manuale di Contabilità. I documenti contabili gestionali hanno valenza primariamente interna, di informativa e di strumento di gestione, e sono soggetti a procedure di formazione e di valutazione dettagliate nel Manuale di Controllo di Gestione.</w:t>
      </w:r>
    </w:p>
    <w:p w:rsidR="007A5ECC" w:rsidRPr="000F70A0" w:rsidRDefault="007A5ECC" w:rsidP="00503AD7">
      <w:pPr>
        <w:autoSpaceDE w:val="0"/>
        <w:autoSpaceDN w:val="0"/>
        <w:adjustRightInd w:val="0"/>
        <w:jc w:val="both"/>
        <w:rPr>
          <w:color w:val="000000"/>
        </w:rPr>
      </w:pPr>
    </w:p>
    <w:p w:rsidR="007A5ECC" w:rsidRDefault="007A5ECC" w:rsidP="00503AD7">
      <w:pPr>
        <w:autoSpaceDE w:val="0"/>
        <w:autoSpaceDN w:val="0"/>
        <w:adjustRightInd w:val="0"/>
        <w:jc w:val="both"/>
        <w:rPr>
          <w:b/>
          <w:bCs/>
          <w:color w:val="000000"/>
        </w:rPr>
      </w:pPr>
      <w:r w:rsidRPr="000F70A0">
        <w:rPr>
          <w:b/>
          <w:bCs/>
          <w:color w:val="000000"/>
        </w:rPr>
        <w:t>Art. 15 – Documenti contabili di sintesi a rilevanza esterna</w:t>
      </w:r>
    </w:p>
    <w:p w:rsidR="007A5ECC" w:rsidRDefault="007A5ECC" w:rsidP="00503AD7">
      <w:pPr>
        <w:autoSpaceDE w:val="0"/>
        <w:autoSpaceDN w:val="0"/>
        <w:adjustRightInd w:val="0"/>
        <w:jc w:val="both"/>
        <w:rPr>
          <w:b/>
          <w:bCs/>
          <w:color w:val="000000"/>
        </w:rPr>
      </w:pPr>
    </w:p>
    <w:p w:rsidR="007A5ECC" w:rsidRPr="00237ECA" w:rsidRDefault="007A5ECC" w:rsidP="00335A64">
      <w:pPr>
        <w:pStyle w:val="Paragrafoelenco"/>
        <w:numPr>
          <w:ilvl w:val="0"/>
          <w:numId w:val="95"/>
        </w:numPr>
        <w:tabs>
          <w:tab w:val="num" w:pos="720"/>
        </w:tabs>
        <w:autoSpaceDE w:val="0"/>
        <w:autoSpaceDN w:val="0"/>
        <w:adjustRightInd w:val="0"/>
        <w:jc w:val="both"/>
        <w:rPr>
          <w:color w:val="000000"/>
        </w:rPr>
      </w:pPr>
      <w:r w:rsidRPr="00237ECA">
        <w:rPr>
          <w:color w:val="000000"/>
        </w:rPr>
        <w:t>I documenti contabili pubblici di Ateneo sono redatti secondo i principi contabili e gli schemi di bilancio di cui alla normativa vigente. Essi sono costituiti da:</w:t>
      </w:r>
    </w:p>
    <w:p w:rsidR="007A5ECC" w:rsidRPr="00237ECA" w:rsidRDefault="007A5ECC" w:rsidP="00335A64">
      <w:pPr>
        <w:numPr>
          <w:ilvl w:val="1"/>
          <w:numId w:val="94"/>
        </w:numPr>
        <w:tabs>
          <w:tab w:val="num" w:pos="720"/>
        </w:tabs>
        <w:autoSpaceDE w:val="0"/>
        <w:autoSpaceDN w:val="0"/>
        <w:adjustRightInd w:val="0"/>
        <w:ind w:left="720"/>
        <w:jc w:val="both"/>
        <w:rPr>
          <w:color w:val="000000"/>
        </w:rPr>
      </w:pPr>
      <w:proofErr w:type="gramStart"/>
      <w:r w:rsidRPr="00237ECA">
        <w:rPr>
          <w:color w:val="000000"/>
        </w:rPr>
        <w:t>budget</w:t>
      </w:r>
      <w:proofErr w:type="gramEnd"/>
      <w:r w:rsidRPr="00237ECA">
        <w:rPr>
          <w:color w:val="000000"/>
        </w:rPr>
        <w:t xml:space="preserve"> economico unico di Ateneo di previsione annuale </w:t>
      </w:r>
      <w:proofErr w:type="spellStart"/>
      <w:r w:rsidRPr="00237ECA">
        <w:rPr>
          <w:color w:val="000000"/>
        </w:rPr>
        <w:t>autorizzatorio</w:t>
      </w:r>
      <w:proofErr w:type="spellEnd"/>
    </w:p>
    <w:p w:rsidR="007A5ECC" w:rsidRPr="00237ECA" w:rsidRDefault="007A5ECC" w:rsidP="00335A64">
      <w:pPr>
        <w:numPr>
          <w:ilvl w:val="1"/>
          <w:numId w:val="94"/>
        </w:numPr>
        <w:tabs>
          <w:tab w:val="num" w:pos="720"/>
        </w:tabs>
        <w:autoSpaceDE w:val="0"/>
        <w:autoSpaceDN w:val="0"/>
        <w:adjustRightInd w:val="0"/>
        <w:ind w:left="720"/>
        <w:jc w:val="both"/>
        <w:rPr>
          <w:color w:val="000000"/>
        </w:rPr>
      </w:pPr>
      <w:proofErr w:type="gramStart"/>
      <w:r w:rsidRPr="00237ECA">
        <w:rPr>
          <w:color w:val="000000"/>
        </w:rPr>
        <w:t>budget</w:t>
      </w:r>
      <w:proofErr w:type="gramEnd"/>
      <w:r w:rsidRPr="00237ECA">
        <w:rPr>
          <w:color w:val="000000"/>
        </w:rPr>
        <w:t xml:space="preserve"> economico unico di Ateneo di previsione triennale</w:t>
      </w:r>
    </w:p>
    <w:p w:rsidR="007A5ECC" w:rsidRPr="00237ECA" w:rsidRDefault="007A5ECC" w:rsidP="00335A64">
      <w:pPr>
        <w:numPr>
          <w:ilvl w:val="1"/>
          <w:numId w:val="94"/>
        </w:numPr>
        <w:tabs>
          <w:tab w:val="num" w:pos="720"/>
        </w:tabs>
        <w:autoSpaceDE w:val="0"/>
        <w:autoSpaceDN w:val="0"/>
        <w:adjustRightInd w:val="0"/>
        <w:ind w:left="720"/>
        <w:jc w:val="both"/>
        <w:rPr>
          <w:color w:val="000000"/>
        </w:rPr>
      </w:pPr>
      <w:proofErr w:type="gramStart"/>
      <w:r w:rsidRPr="00237ECA">
        <w:rPr>
          <w:color w:val="000000"/>
        </w:rPr>
        <w:t>budget</w:t>
      </w:r>
      <w:proofErr w:type="gramEnd"/>
      <w:r w:rsidRPr="00237ECA">
        <w:rPr>
          <w:color w:val="000000"/>
        </w:rPr>
        <w:t xml:space="preserve"> degli investimenti unico di Ateneo annuale</w:t>
      </w:r>
    </w:p>
    <w:p w:rsidR="007A5ECC" w:rsidRPr="00237ECA" w:rsidRDefault="007A5ECC" w:rsidP="00335A64">
      <w:pPr>
        <w:numPr>
          <w:ilvl w:val="1"/>
          <w:numId w:val="94"/>
        </w:numPr>
        <w:tabs>
          <w:tab w:val="num" w:pos="720"/>
        </w:tabs>
        <w:autoSpaceDE w:val="0"/>
        <w:autoSpaceDN w:val="0"/>
        <w:adjustRightInd w:val="0"/>
        <w:ind w:left="720"/>
        <w:jc w:val="both"/>
        <w:rPr>
          <w:color w:val="000000"/>
        </w:rPr>
      </w:pPr>
      <w:proofErr w:type="gramStart"/>
      <w:r w:rsidRPr="00237ECA">
        <w:rPr>
          <w:color w:val="000000"/>
        </w:rPr>
        <w:t>budget</w:t>
      </w:r>
      <w:proofErr w:type="gramEnd"/>
      <w:r w:rsidRPr="00237ECA">
        <w:rPr>
          <w:color w:val="000000"/>
        </w:rPr>
        <w:t xml:space="preserve"> degli investimenti unico di Ateneo triennale</w:t>
      </w:r>
    </w:p>
    <w:p w:rsidR="007A5ECC" w:rsidRPr="00237ECA" w:rsidRDefault="007A5ECC" w:rsidP="00335A64">
      <w:pPr>
        <w:numPr>
          <w:ilvl w:val="1"/>
          <w:numId w:val="94"/>
        </w:numPr>
        <w:tabs>
          <w:tab w:val="num" w:pos="720"/>
        </w:tabs>
        <w:autoSpaceDE w:val="0"/>
        <w:autoSpaceDN w:val="0"/>
        <w:adjustRightInd w:val="0"/>
        <w:ind w:left="720"/>
        <w:jc w:val="both"/>
        <w:rPr>
          <w:color w:val="000000"/>
        </w:rPr>
      </w:pPr>
      <w:proofErr w:type="gramStart"/>
      <w:r w:rsidRPr="00237ECA">
        <w:rPr>
          <w:color w:val="000000"/>
        </w:rPr>
        <w:t>bilancio</w:t>
      </w:r>
      <w:proofErr w:type="gramEnd"/>
      <w:r w:rsidRPr="00237ECA">
        <w:rPr>
          <w:color w:val="000000"/>
        </w:rPr>
        <w:t xml:space="preserve"> preventivo unico di Ateneo non </w:t>
      </w:r>
      <w:proofErr w:type="spellStart"/>
      <w:r w:rsidRPr="00237ECA">
        <w:rPr>
          <w:color w:val="000000"/>
        </w:rPr>
        <w:t>autorizzatorio</w:t>
      </w:r>
      <w:proofErr w:type="spellEnd"/>
      <w:r w:rsidRPr="00237ECA">
        <w:rPr>
          <w:color w:val="000000"/>
        </w:rPr>
        <w:t xml:space="preserve"> in contabilità finanziaria</w:t>
      </w:r>
    </w:p>
    <w:p w:rsidR="007A5ECC" w:rsidRPr="00237ECA" w:rsidRDefault="007A5ECC" w:rsidP="00335A64">
      <w:pPr>
        <w:numPr>
          <w:ilvl w:val="1"/>
          <w:numId w:val="94"/>
        </w:numPr>
        <w:tabs>
          <w:tab w:val="num" w:pos="720"/>
        </w:tabs>
        <w:autoSpaceDE w:val="0"/>
        <w:autoSpaceDN w:val="0"/>
        <w:adjustRightInd w:val="0"/>
        <w:ind w:left="720"/>
        <w:jc w:val="both"/>
        <w:rPr>
          <w:color w:val="000000"/>
        </w:rPr>
      </w:pPr>
      <w:proofErr w:type="gramStart"/>
      <w:r w:rsidRPr="00237ECA">
        <w:rPr>
          <w:color w:val="000000"/>
        </w:rPr>
        <w:t>bilancio</w:t>
      </w:r>
      <w:proofErr w:type="gramEnd"/>
      <w:r w:rsidRPr="00237ECA">
        <w:rPr>
          <w:color w:val="000000"/>
        </w:rPr>
        <w:t xml:space="preserve"> unico di Ateneo d’esercizio, composto da Conto economico, Stato patrimoniale, Nota integrativa e Rendiconto finanziario</w:t>
      </w:r>
    </w:p>
    <w:p w:rsidR="007A5ECC" w:rsidRPr="00237ECA" w:rsidRDefault="007A5ECC" w:rsidP="00335A64">
      <w:pPr>
        <w:numPr>
          <w:ilvl w:val="1"/>
          <w:numId w:val="94"/>
        </w:numPr>
        <w:tabs>
          <w:tab w:val="num" w:pos="720"/>
        </w:tabs>
        <w:autoSpaceDE w:val="0"/>
        <w:autoSpaceDN w:val="0"/>
        <w:adjustRightInd w:val="0"/>
        <w:ind w:left="720"/>
        <w:jc w:val="both"/>
        <w:rPr>
          <w:color w:val="000000"/>
        </w:rPr>
      </w:pPr>
      <w:proofErr w:type="gramStart"/>
      <w:r w:rsidRPr="00237ECA">
        <w:rPr>
          <w:color w:val="000000"/>
        </w:rPr>
        <w:t>rendiconto</w:t>
      </w:r>
      <w:proofErr w:type="gramEnd"/>
      <w:r w:rsidRPr="00237ECA">
        <w:rPr>
          <w:color w:val="000000"/>
        </w:rPr>
        <w:t xml:space="preserve"> unico di Ateneo in contabilità finanziaria</w:t>
      </w:r>
    </w:p>
    <w:p w:rsidR="007A5ECC" w:rsidRPr="00237ECA" w:rsidRDefault="007A5ECC" w:rsidP="00335A64">
      <w:pPr>
        <w:numPr>
          <w:ilvl w:val="1"/>
          <w:numId w:val="94"/>
        </w:numPr>
        <w:autoSpaceDE w:val="0"/>
        <w:autoSpaceDN w:val="0"/>
        <w:adjustRightInd w:val="0"/>
        <w:ind w:left="720"/>
        <w:jc w:val="both"/>
        <w:rPr>
          <w:color w:val="000000"/>
        </w:rPr>
      </w:pPr>
      <w:proofErr w:type="gramStart"/>
      <w:r w:rsidRPr="00237ECA">
        <w:rPr>
          <w:color w:val="000000"/>
        </w:rPr>
        <w:t>bilancio</w:t>
      </w:r>
      <w:proofErr w:type="gramEnd"/>
      <w:r w:rsidRPr="00237ECA">
        <w:rPr>
          <w:color w:val="000000"/>
        </w:rPr>
        <w:t xml:space="preserve"> consolidato</w:t>
      </w:r>
    </w:p>
    <w:p w:rsidR="007A5ECC" w:rsidRPr="00237ECA" w:rsidRDefault="007A5ECC" w:rsidP="00335A64">
      <w:pPr>
        <w:pStyle w:val="Paragrafoelenco"/>
        <w:numPr>
          <w:ilvl w:val="1"/>
          <w:numId w:val="94"/>
        </w:numPr>
        <w:ind w:left="709" w:hanging="425"/>
        <w:rPr>
          <w:color w:val="000000"/>
        </w:rPr>
      </w:pPr>
      <w:proofErr w:type="gramStart"/>
      <w:r w:rsidRPr="00237ECA">
        <w:rPr>
          <w:color w:val="000000"/>
        </w:rPr>
        <w:t>prospetto</w:t>
      </w:r>
      <w:proofErr w:type="gramEnd"/>
      <w:r w:rsidRPr="00237ECA">
        <w:rPr>
          <w:color w:val="000000"/>
        </w:rPr>
        <w:t xml:space="preserve"> contenente la classificazione delle spese per missioni e programmi sia per il budget di previsione economico e degli investimenti, sia per il bilancio unico d’Ateneo di esercizio.</w:t>
      </w:r>
    </w:p>
    <w:p w:rsidR="007A5ECC" w:rsidRPr="00237ECA" w:rsidRDefault="007A5ECC" w:rsidP="00335A64">
      <w:pPr>
        <w:numPr>
          <w:ilvl w:val="0"/>
          <w:numId w:val="94"/>
        </w:numPr>
        <w:tabs>
          <w:tab w:val="num" w:pos="360"/>
          <w:tab w:val="num" w:pos="720"/>
        </w:tabs>
        <w:autoSpaceDE w:val="0"/>
        <w:autoSpaceDN w:val="0"/>
        <w:adjustRightInd w:val="0"/>
        <w:ind w:hanging="578"/>
        <w:jc w:val="both"/>
        <w:rPr>
          <w:color w:val="000000"/>
        </w:rPr>
      </w:pPr>
      <w:r w:rsidRPr="00237ECA">
        <w:rPr>
          <w:color w:val="000000"/>
        </w:rPr>
        <w:t>I documenti contabili pubblici di sintesi preventivi sono:</w:t>
      </w:r>
    </w:p>
    <w:p w:rsidR="007A5ECC" w:rsidRPr="00237ECA" w:rsidRDefault="007A5ECC" w:rsidP="00335A64">
      <w:pPr>
        <w:numPr>
          <w:ilvl w:val="1"/>
          <w:numId w:val="94"/>
        </w:numPr>
        <w:tabs>
          <w:tab w:val="num" w:pos="720"/>
        </w:tabs>
        <w:autoSpaceDE w:val="0"/>
        <w:autoSpaceDN w:val="0"/>
        <w:adjustRightInd w:val="0"/>
        <w:ind w:left="720"/>
        <w:jc w:val="both"/>
        <w:rPr>
          <w:color w:val="000000"/>
        </w:rPr>
      </w:pPr>
      <w:r w:rsidRPr="00237ECA">
        <w:rPr>
          <w:i/>
          <w:iCs/>
          <w:color w:val="000000"/>
        </w:rPr>
        <w:t xml:space="preserve">Budget Economico di previsione annuale </w:t>
      </w:r>
      <w:proofErr w:type="spellStart"/>
      <w:r w:rsidRPr="00237ECA">
        <w:rPr>
          <w:i/>
          <w:iCs/>
          <w:color w:val="000000"/>
        </w:rPr>
        <w:t>autorizzatorio</w:t>
      </w:r>
      <w:proofErr w:type="spellEnd"/>
      <w:r w:rsidRPr="00237ECA">
        <w:rPr>
          <w:i/>
          <w:iCs/>
          <w:color w:val="000000"/>
        </w:rPr>
        <w:t xml:space="preserve"> e triennale</w:t>
      </w:r>
      <w:r w:rsidRPr="00237ECA">
        <w:rPr>
          <w:color w:val="000000"/>
        </w:rPr>
        <w:t>: evidenziano rispettivamente i costi e i proventi dell’esercizio e del triennio in base ai principi della competenza economica;</w:t>
      </w:r>
    </w:p>
    <w:p w:rsidR="007A5ECC" w:rsidRPr="00237ECA" w:rsidRDefault="007A5ECC" w:rsidP="00335A64">
      <w:pPr>
        <w:numPr>
          <w:ilvl w:val="1"/>
          <w:numId w:val="94"/>
        </w:numPr>
        <w:tabs>
          <w:tab w:val="num" w:pos="720"/>
        </w:tabs>
        <w:autoSpaceDE w:val="0"/>
        <w:autoSpaceDN w:val="0"/>
        <w:adjustRightInd w:val="0"/>
        <w:ind w:left="720"/>
        <w:jc w:val="both"/>
        <w:rPr>
          <w:color w:val="000000"/>
        </w:rPr>
      </w:pPr>
      <w:r w:rsidRPr="00237ECA">
        <w:rPr>
          <w:i/>
          <w:iCs/>
          <w:color w:val="000000"/>
        </w:rPr>
        <w:t xml:space="preserve">Budget degli Investimenti annuale </w:t>
      </w:r>
      <w:proofErr w:type="spellStart"/>
      <w:r w:rsidRPr="00237ECA">
        <w:rPr>
          <w:i/>
          <w:iCs/>
          <w:color w:val="000000"/>
        </w:rPr>
        <w:t>autorizzatorio</w:t>
      </w:r>
      <w:proofErr w:type="spellEnd"/>
      <w:r w:rsidRPr="00237ECA">
        <w:rPr>
          <w:i/>
          <w:iCs/>
          <w:color w:val="000000"/>
        </w:rPr>
        <w:t xml:space="preserve"> e triennale</w:t>
      </w:r>
      <w:r w:rsidRPr="00237ECA">
        <w:rPr>
          <w:color w:val="000000"/>
        </w:rPr>
        <w:t>: evidenziano rispettivamente gli investimenti e le fonti di copertura dell’esercizio e del triennio. Sono considerate operazioni di investimento quelle rivolte a modificare la consistenza delle immobilizzazioni materiali, immateriali e finanziarie;</w:t>
      </w:r>
    </w:p>
    <w:p w:rsidR="007A5ECC" w:rsidRPr="00237ECA" w:rsidRDefault="007A5ECC" w:rsidP="00335A64">
      <w:pPr>
        <w:numPr>
          <w:ilvl w:val="1"/>
          <w:numId w:val="94"/>
        </w:numPr>
        <w:tabs>
          <w:tab w:val="num" w:pos="720"/>
        </w:tabs>
        <w:autoSpaceDE w:val="0"/>
        <w:autoSpaceDN w:val="0"/>
        <w:adjustRightInd w:val="0"/>
        <w:ind w:left="720"/>
        <w:jc w:val="both"/>
        <w:rPr>
          <w:color w:val="000000"/>
        </w:rPr>
      </w:pPr>
      <w:r w:rsidRPr="00237ECA">
        <w:rPr>
          <w:i/>
          <w:iCs/>
          <w:color w:val="000000"/>
        </w:rPr>
        <w:t xml:space="preserve">Bilancio preventivo unico di Ateneo non </w:t>
      </w:r>
      <w:proofErr w:type="spellStart"/>
      <w:r w:rsidRPr="00237ECA">
        <w:rPr>
          <w:i/>
          <w:iCs/>
          <w:color w:val="000000"/>
        </w:rPr>
        <w:t>autorizzatorio</w:t>
      </w:r>
      <w:proofErr w:type="spellEnd"/>
      <w:r w:rsidRPr="00237ECA">
        <w:rPr>
          <w:i/>
          <w:iCs/>
          <w:color w:val="000000"/>
        </w:rPr>
        <w:t xml:space="preserve"> in contabilità finanziaria</w:t>
      </w:r>
      <w:r w:rsidRPr="00237ECA">
        <w:rPr>
          <w:color w:val="000000"/>
        </w:rPr>
        <w:t>: è predisposto, ai sensi della normativa vigente, al fine di consentire il consolidamento e il monitoraggio dei conti delle amministrazioni pubbliche;</w:t>
      </w:r>
    </w:p>
    <w:p w:rsidR="007A5ECC" w:rsidRPr="00237ECA" w:rsidRDefault="007A5ECC" w:rsidP="00335A64">
      <w:pPr>
        <w:numPr>
          <w:ilvl w:val="1"/>
          <w:numId w:val="94"/>
        </w:numPr>
        <w:tabs>
          <w:tab w:val="num" w:pos="720"/>
        </w:tabs>
        <w:autoSpaceDE w:val="0"/>
        <w:autoSpaceDN w:val="0"/>
        <w:adjustRightInd w:val="0"/>
        <w:ind w:left="720"/>
        <w:jc w:val="both"/>
        <w:rPr>
          <w:color w:val="000000"/>
        </w:rPr>
      </w:pPr>
      <w:r w:rsidRPr="00237ECA">
        <w:rPr>
          <w:i/>
          <w:iCs/>
          <w:color w:val="000000"/>
        </w:rPr>
        <w:t>Relazione a corredo dei documenti di previsione</w:t>
      </w:r>
      <w:r w:rsidRPr="00237ECA">
        <w:rPr>
          <w:color w:val="000000"/>
        </w:rPr>
        <w:t>: completa le informazioni riportate nei documenti sopra descritti e illustra i criteri adottati per la loro predisposizione.</w:t>
      </w:r>
    </w:p>
    <w:p w:rsidR="007A5ECC" w:rsidRPr="00237ECA" w:rsidRDefault="007A5ECC" w:rsidP="00335A64">
      <w:pPr>
        <w:numPr>
          <w:ilvl w:val="0"/>
          <w:numId w:val="94"/>
        </w:numPr>
        <w:tabs>
          <w:tab w:val="left" w:pos="360"/>
        </w:tabs>
        <w:autoSpaceDE w:val="0"/>
        <w:autoSpaceDN w:val="0"/>
        <w:adjustRightInd w:val="0"/>
        <w:ind w:hanging="578"/>
        <w:jc w:val="both"/>
        <w:rPr>
          <w:color w:val="000000"/>
        </w:rPr>
      </w:pPr>
      <w:r w:rsidRPr="00237ECA">
        <w:rPr>
          <w:color w:val="000000"/>
        </w:rPr>
        <w:t>I documenti contabili pubblici consuntivi sono:</w:t>
      </w:r>
    </w:p>
    <w:p w:rsidR="007A5ECC" w:rsidRPr="00237ECA" w:rsidRDefault="007A5ECC" w:rsidP="00335A64">
      <w:pPr>
        <w:pStyle w:val="Paragrafoelenco"/>
        <w:numPr>
          <w:ilvl w:val="1"/>
          <w:numId w:val="1"/>
        </w:numPr>
        <w:tabs>
          <w:tab w:val="clear" w:pos="1440"/>
        </w:tabs>
        <w:autoSpaceDE w:val="0"/>
        <w:autoSpaceDN w:val="0"/>
        <w:adjustRightInd w:val="0"/>
        <w:ind w:left="709" w:hanging="283"/>
        <w:jc w:val="both"/>
        <w:rPr>
          <w:color w:val="000000"/>
        </w:rPr>
      </w:pPr>
      <w:r w:rsidRPr="00237ECA">
        <w:rPr>
          <w:i/>
          <w:iCs/>
          <w:color w:val="000000"/>
        </w:rPr>
        <w:t>Conto Economico</w:t>
      </w:r>
      <w:r w:rsidRPr="00237ECA">
        <w:rPr>
          <w:color w:val="000000"/>
        </w:rPr>
        <w:t>: evidenzia i costi e i proventi dell’esercizio in base ai principi della competenza economica. Esso è redatto nel rispetto dei requisiti previsti dalla normativa vigente.</w:t>
      </w:r>
    </w:p>
    <w:p w:rsidR="007A5ECC" w:rsidRPr="00237ECA" w:rsidRDefault="007A5ECC" w:rsidP="00335A64">
      <w:pPr>
        <w:pStyle w:val="Paragrafoelenco"/>
        <w:numPr>
          <w:ilvl w:val="1"/>
          <w:numId w:val="1"/>
        </w:numPr>
        <w:tabs>
          <w:tab w:val="clear" w:pos="1440"/>
        </w:tabs>
        <w:autoSpaceDE w:val="0"/>
        <w:autoSpaceDN w:val="0"/>
        <w:adjustRightInd w:val="0"/>
        <w:ind w:left="709" w:hanging="283"/>
        <w:jc w:val="both"/>
        <w:rPr>
          <w:color w:val="000000"/>
        </w:rPr>
      </w:pPr>
      <w:r w:rsidRPr="00237ECA">
        <w:rPr>
          <w:i/>
          <w:iCs/>
          <w:color w:val="000000"/>
        </w:rPr>
        <w:lastRenderedPageBreak/>
        <w:t>Stato Patrimoniale</w:t>
      </w:r>
      <w:r w:rsidRPr="00237ECA">
        <w:rPr>
          <w:color w:val="000000"/>
        </w:rPr>
        <w:t>: espone la consistenza degli elementi patrimoniali attivi e passivi al termine di un determinato esercizio contabile. Esso è redatto nel rispetto dei requisiti previsti dalla normativa vigente.</w:t>
      </w:r>
    </w:p>
    <w:p w:rsidR="007A5ECC" w:rsidRPr="00237ECA" w:rsidRDefault="007A5ECC" w:rsidP="00335A64">
      <w:pPr>
        <w:pStyle w:val="Paragrafoelenco"/>
        <w:numPr>
          <w:ilvl w:val="1"/>
          <w:numId w:val="1"/>
        </w:numPr>
        <w:tabs>
          <w:tab w:val="clear" w:pos="1440"/>
        </w:tabs>
        <w:autoSpaceDE w:val="0"/>
        <w:autoSpaceDN w:val="0"/>
        <w:adjustRightInd w:val="0"/>
        <w:ind w:left="709" w:hanging="283"/>
        <w:jc w:val="both"/>
        <w:rPr>
          <w:color w:val="000000"/>
        </w:rPr>
      </w:pPr>
      <w:r w:rsidRPr="00237ECA">
        <w:rPr>
          <w:i/>
          <w:iCs/>
          <w:color w:val="000000"/>
        </w:rPr>
        <w:t>Rendiconto Finanziario</w:t>
      </w:r>
      <w:r w:rsidRPr="00237ECA">
        <w:rPr>
          <w:color w:val="000000"/>
        </w:rPr>
        <w:t>: è il prospetto che riassume le relazioni tra fonti e impieghi di risorse finanziarie. La struttura del Rendiconto evidenzia le variazioni di liquidità, ossia gli incrementi e gli utilizzi di disponibilità liquide. Esso è redatto nel rispetto dei requisiti previsti dalla normativa vigente.</w:t>
      </w:r>
    </w:p>
    <w:p w:rsidR="007A5ECC" w:rsidRPr="00237ECA" w:rsidRDefault="007A5ECC" w:rsidP="00335A64">
      <w:pPr>
        <w:pStyle w:val="Paragrafoelenco"/>
        <w:numPr>
          <w:ilvl w:val="1"/>
          <w:numId w:val="1"/>
        </w:numPr>
        <w:tabs>
          <w:tab w:val="clear" w:pos="1440"/>
          <w:tab w:val="num" w:pos="720"/>
        </w:tabs>
        <w:autoSpaceDE w:val="0"/>
        <w:autoSpaceDN w:val="0"/>
        <w:adjustRightInd w:val="0"/>
        <w:ind w:left="709" w:hanging="283"/>
        <w:jc w:val="both"/>
        <w:rPr>
          <w:color w:val="000000"/>
        </w:rPr>
      </w:pPr>
      <w:r w:rsidRPr="00237ECA">
        <w:rPr>
          <w:i/>
          <w:iCs/>
          <w:color w:val="000000"/>
        </w:rPr>
        <w:t>Nota Integrativa</w:t>
      </w:r>
      <w:r w:rsidRPr="00237ECA">
        <w:rPr>
          <w:color w:val="000000"/>
        </w:rPr>
        <w:t>: fornisce informazioni complementari a quelle riportate nei documenti sopra descritti, necessarie a dare una rappresentazione veritiera e corretta della situazione patrimoniale e finanziaria e dell’andamento economico, nonché a illustrare i criteri di valutazione adottati. La Nota Integrativa è redatta in conformità alle disposizioni del codice civile e dei principi contabili nazionali redatti dai competenti organismi.</w:t>
      </w:r>
    </w:p>
    <w:p w:rsidR="007A5ECC" w:rsidRPr="00237ECA" w:rsidRDefault="007A5ECC" w:rsidP="00335A64">
      <w:pPr>
        <w:pStyle w:val="Paragrafoelenco"/>
        <w:numPr>
          <w:ilvl w:val="1"/>
          <w:numId w:val="1"/>
        </w:numPr>
        <w:tabs>
          <w:tab w:val="clear" w:pos="1440"/>
        </w:tabs>
        <w:autoSpaceDE w:val="0"/>
        <w:autoSpaceDN w:val="0"/>
        <w:adjustRightInd w:val="0"/>
        <w:ind w:left="709" w:hanging="283"/>
        <w:jc w:val="both"/>
        <w:rPr>
          <w:color w:val="000000"/>
        </w:rPr>
      </w:pPr>
      <w:r w:rsidRPr="00237ECA">
        <w:rPr>
          <w:i/>
          <w:iCs/>
          <w:color w:val="000000"/>
        </w:rPr>
        <w:t>Rendiconto unico di Ateneo in contabilità finanziaria</w:t>
      </w:r>
      <w:r w:rsidRPr="00237ECA">
        <w:rPr>
          <w:color w:val="000000"/>
        </w:rPr>
        <w:t>: è predisposto nel rispetto dei requisiti previsti dalla normativa vigente, al fine di consentire il consolidamento e il monitoraggio dei conti delle amministrazioni pubbliche.</w:t>
      </w:r>
    </w:p>
    <w:p w:rsidR="007A5ECC" w:rsidRPr="00237ECA" w:rsidRDefault="007A5ECC" w:rsidP="00335A64">
      <w:pPr>
        <w:pStyle w:val="Paragrafoelenco"/>
        <w:numPr>
          <w:ilvl w:val="1"/>
          <w:numId w:val="1"/>
        </w:numPr>
        <w:tabs>
          <w:tab w:val="clear" w:pos="1440"/>
        </w:tabs>
        <w:autoSpaceDE w:val="0"/>
        <w:autoSpaceDN w:val="0"/>
        <w:adjustRightInd w:val="0"/>
        <w:ind w:left="709" w:hanging="283"/>
        <w:jc w:val="both"/>
        <w:rPr>
          <w:color w:val="000000"/>
        </w:rPr>
      </w:pPr>
      <w:r w:rsidRPr="00237ECA">
        <w:rPr>
          <w:i/>
          <w:iCs/>
          <w:color w:val="000000"/>
        </w:rPr>
        <w:t>Bilancio consolidato di Ateneo</w:t>
      </w:r>
      <w:r w:rsidRPr="00237ECA">
        <w:rPr>
          <w:color w:val="000000"/>
        </w:rPr>
        <w:t xml:space="preserve">: è redatto nel rispetto dei requisiti previsti dalla normativa vigente e secondo i principi contenuti nel Manuale di contabilità, avendo riferimento – ove necessario – agli </w:t>
      </w:r>
      <w:r w:rsidRPr="00237ECA">
        <w:rPr>
          <w:bCs/>
          <w:color w:val="000000"/>
        </w:rPr>
        <w:t xml:space="preserve">International Public Sector Accounting </w:t>
      </w:r>
      <w:proofErr w:type="spellStart"/>
      <w:r w:rsidRPr="00237ECA">
        <w:rPr>
          <w:bCs/>
          <w:color w:val="000000"/>
        </w:rPr>
        <w:t>Standards</w:t>
      </w:r>
      <w:proofErr w:type="spellEnd"/>
      <w:r w:rsidRPr="00237ECA">
        <w:rPr>
          <w:bCs/>
          <w:color w:val="000000"/>
        </w:rPr>
        <w:t xml:space="preserve"> (IPSAS)</w:t>
      </w:r>
      <w:r w:rsidRPr="00237ECA">
        <w:rPr>
          <w:color w:val="000000"/>
        </w:rPr>
        <w:t>.</w:t>
      </w:r>
    </w:p>
    <w:p w:rsidR="007A5ECC" w:rsidRPr="00237ECA" w:rsidRDefault="007A5ECC" w:rsidP="00335A64">
      <w:pPr>
        <w:pStyle w:val="Paragrafoelenco"/>
        <w:numPr>
          <w:ilvl w:val="0"/>
          <w:numId w:val="94"/>
        </w:numPr>
        <w:jc w:val="both"/>
        <w:rPr>
          <w:color w:val="000000"/>
        </w:rPr>
      </w:pPr>
      <w:r w:rsidRPr="00237ECA">
        <w:rPr>
          <w:color w:val="000000"/>
        </w:rPr>
        <w:t xml:space="preserve">Il prospetto missioni e programmi di cui al comma i) dell’art.1 deve comprendere le spese </w:t>
      </w:r>
      <w:r>
        <w:rPr>
          <w:color w:val="000000"/>
        </w:rPr>
        <w:t>de</w:t>
      </w:r>
      <w:r w:rsidRPr="00237ECA">
        <w:rPr>
          <w:color w:val="000000"/>
        </w:rPr>
        <w:t>ll’Ateneo sulla base della seguente classificazione:</w:t>
      </w:r>
    </w:p>
    <w:p w:rsidR="007A5ECC" w:rsidRDefault="007A5ECC" w:rsidP="00335A64">
      <w:pPr>
        <w:pStyle w:val="Paragrafoelenco"/>
        <w:jc w:val="both"/>
        <w:rPr>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9"/>
        <w:gridCol w:w="2976"/>
        <w:gridCol w:w="1683"/>
        <w:gridCol w:w="2259"/>
      </w:tblGrid>
      <w:tr w:rsidR="007A5ECC" w:rsidTr="0037705A">
        <w:tc>
          <w:tcPr>
            <w:tcW w:w="1969" w:type="dxa"/>
          </w:tcPr>
          <w:p w:rsidR="007A5ECC" w:rsidRPr="00A970B2" w:rsidRDefault="007A5ECC" w:rsidP="0037705A">
            <w:pPr>
              <w:pStyle w:val="Paragrafoelenco"/>
              <w:ind w:left="0"/>
              <w:jc w:val="center"/>
              <w:rPr>
                <w:color w:val="000000"/>
              </w:rPr>
            </w:pPr>
            <w:r w:rsidRPr="00A970B2">
              <w:rPr>
                <w:color w:val="000000"/>
              </w:rPr>
              <w:t>Missioni</w:t>
            </w:r>
          </w:p>
        </w:tc>
        <w:tc>
          <w:tcPr>
            <w:tcW w:w="2976" w:type="dxa"/>
          </w:tcPr>
          <w:p w:rsidR="007A5ECC" w:rsidRPr="00A970B2" w:rsidRDefault="007A5ECC" w:rsidP="0037705A">
            <w:pPr>
              <w:pStyle w:val="Paragrafoelenco"/>
              <w:ind w:left="0"/>
              <w:jc w:val="center"/>
              <w:rPr>
                <w:color w:val="000000"/>
              </w:rPr>
            </w:pPr>
            <w:r w:rsidRPr="00A970B2">
              <w:rPr>
                <w:color w:val="000000"/>
              </w:rPr>
              <w:t>Programmi</w:t>
            </w:r>
          </w:p>
        </w:tc>
        <w:tc>
          <w:tcPr>
            <w:tcW w:w="1683" w:type="dxa"/>
          </w:tcPr>
          <w:p w:rsidR="007A5ECC" w:rsidRPr="00A970B2" w:rsidRDefault="007A5ECC" w:rsidP="0037705A">
            <w:pPr>
              <w:pStyle w:val="Paragrafoelenco"/>
              <w:ind w:left="0"/>
              <w:jc w:val="center"/>
              <w:rPr>
                <w:color w:val="000000"/>
              </w:rPr>
            </w:pPr>
            <w:r w:rsidRPr="00A970B2">
              <w:rPr>
                <w:color w:val="000000"/>
              </w:rPr>
              <w:t xml:space="preserve">Classificazione COFOG </w:t>
            </w:r>
          </w:p>
          <w:p w:rsidR="007A5ECC" w:rsidRPr="00A970B2" w:rsidRDefault="007A5ECC" w:rsidP="0037705A">
            <w:pPr>
              <w:pStyle w:val="Paragrafoelenco"/>
              <w:ind w:left="0"/>
              <w:jc w:val="center"/>
              <w:rPr>
                <w:color w:val="000000"/>
              </w:rPr>
            </w:pPr>
            <w:r w:rsidRPr="00A970B2">
              <w:rPr>
                <w:color w:val="000000"/>
              </w:rPr>
              <w:t>(II livello)</w:t>
            </w:r>
          </w:p>
        </w:tc>
        <w:tc>
          <w:tcPr>
            <w:tcW w:w="2259" w:type="dxa"/>
          </w:tcPr>
          <w:p w:rsidR="007A5ECC" w:rsidRPr="00A970B2" w:rsidRDefault="007A5ECC" w:rsidP="0037705A">
            <w:pPr>
              <w:pStyle w:val="Paragrafoelenco"/>
              <w:ind w:left="0"/>
              <w:jc w:val="center"/>
              <w:rPr>
                <w:color w:val="000000"/>
              </w:rPr>
            </w:pPr>
            <w:r w:rsidRPr="00A970B2">
              <w:rPr>
                <w:color w:val="000000"/>
              </w:rPr>
              <w:t>Definizione COFOG (II Livello)</w:t>
            </w:r>
          </w:p>
        </w:tc>
      </w:tr>
      <w:tr w:rsidR="007A5ECC" w:rsidTr="0037705A">
        <w:tc>
          <w:tcPr>
            <w:tcW w:w="1969" w:type="dxa"/>
          </w:tcPr>
          <w:p w:rsidR="007A5ECC" w:rsidRPr="00A970B2" w:rsidRDefault="007A5ECC" w:rsidP="0037705A">
            <w:pPr>
              <w:pStyle w:val="Paragrafoelenco"/>
              <w:ind w:left="0"/>
              <w:jc w:val="center"/>
              <w:rPr>
                <w:color w:val="000000"/>
              </w:rPr>
            </w:pPr>
            <w:r w:rsidRPr="00A970B2">
              <w:rPr>
                <w:color w:val="000000"/>
              </w:rPr>
              <w:t>Ricerca e innovazione</w:t>
            </w:r>
          </w:p>
        </w:tc>
        <w:tc>
          <w:tcPr>
            <w:tcW w:w="2976" w:type="dxa"/>
          </w:tcPr>
          <w:p w:rsidR="007A5ECC" w:rsidRPr="00A970B2" w:rsidRDefault="007A5ECC" w:rsidP="0037705A">
            <w:pPr>
              <w:pStyle w:val="Paragrafoelenco"/>
              <w:ind w:left="0"/>
              <w:jc w:val="both"/>
              <w:rPr>
                <w:color w:val="000000"/>
              </w:rPr>
            </w:pPr>
            <w:r w:rsidRPr="00A970B2">
              <w:rPr>
                <w:color w:val="000000"/>
              </w:rPr>
              <w:t>Ricerca Scientifica e tecnologica di Base</w:t>
            </w:r>
          </w:p>
          <w:p w:rsidR="007A5ECC" w:rsidRPr="00A970B2" w:rsidRDefault="007A5ECC" w:rsidP="0037705A">
            <w:pPr>
              <w:pStyle w:val="Paragrafoelenco"/>
              <w:ind w:left="0"/>
              <w:jc w:val="both"/>
              <w:rPr>
                <w:color w:val="000000"/>
              </w:rPr>
            </w:pPr>
          </w:p>
          <w:p w:rsidR="007A5ECC" w:rsidRPr="00A970B2" w:rsidRDefault="007A5ECC" w:rsidP="0037705A">
            <w:pPr>
              <w:pStyle w:val="Paragrafoelenco"/>
              <w:ind w:left="0"/>
              <w:jc w:val="both"/>
              <w:rPr>
                <w:color w:val="000000"/>
              </w:rPr>
            </w:pPr>
            <w:r w:rsidRPr="00A970B2">
              <w:rPr>
                <w:color w:val="000000"/>
              </w:rPr>
              <w:t>Ricerca Scientifica e tecnologica applicata</w:t>
            </w:r>
          </w:p>
        </w:tc>
        <w:tc>
          <w:tcPr>
            <w:tcW w:w="1683" w:type="dxa"/>
          </w:tcPr>
          <w:p w:rsidR="007A5ECC" w:rsidRPr="00A970B2" w:rsidRDefault="007A5ECC" w:rsidP="0037705A">
            <w:pPr>
              <w:pStyle w:val="Paragrafoelenco"/>
              <w:ind w:left="0"/>
              <w:jc w:val="center"/>
              <w:rPr>
                <w:color w:val="000000"/>
              </w:rPr>
            </w:pPr>
            <w:r w:rsidRPr="00A970B2">
              <w:rPr>
                <w:color w:val="000000"/>
              </w:rPr>
              <w:t>01.4</w:t>
            </w:r>
          </w:p>
          <w:p w:rsidR="007A5ECC" w:rsidRPr="00A970B2" w:rsidRDefault="007A5ECC" w:rsidP="0037705A">
            <w:pPr>
              <w:pStyle w:val="Paragrafoelenco"/>
              <w:ind w:left="0"/>
              <w:jc w:val="center"/>
              <w:rPr>
                <w:color w:val="000000"/>
              </w:rPr>
            </w:pPr>
          </w:p>
          <w:p w:rsidR="007A5ECC" w:rsidRPr="00A970B2" w:rsidRDefault="007A5ECC" w:rsidP="0037705A">
            <w:pPr>
              <w:pStyle w:val="Paragrafoelenco"/>
              <w:ind w:left="0"/>
              <w:jc w:val="center"/>
              <w:rPr>
                <w:color w:val="000000"/>
              </w:rPr>
            </w:pPr>
          </w:p>
          <w:p w:rsidR="007A5ECC" w:rsidRPr="00A970B2" w:rsidRDefault="007A5ECC" w:rsidP="0037705A">
            <w:pPr>
              <w:pStyle w:val="Paragrafoelenco"/>
              <w:ind w:left="0"/>
              <w:jc w:val="center"/>
              <w:rPr>
                <w:color w:val="000000"/>
              </w:rPr>
            </w:pPr>
            <w:r w:rsidRPr="00A970B2">
              <w:rPr>
                <w:color w:val="000000"/>
              </w:rPr>
              <w:t>04.8</w:t>
            </w:r>
          </w:p>
          <w:p w:rsidR="007A5ECC" w:rsidRPr="00A970B2" w:rsidRDefault="007A5ECC" w:rsidP="0037705A">
            <w:pPr>
              <w:pStyle w:val="Paragrafoelenco"/>
              <w:ind w:left="0"/>
              <w:jc w:val="center"/>
              <w:rPr>
                <w:color w:val="000000"/>
              </w:rPr>
            </w:pPr>
          </w:p>
          <w:p w:rsidR="007A5ECC" w:rsidRPr="00A970B2" w:rsidRDefault="007A5ECC" w:rsidP="0037705A">
            <w:pPr>
              <w:pStyle w:val="Paragrafoelenco"/>
              <w:ind w:left="0"/>
              <w:jc w:val="center"/>
              <w:rPr>
                <w:color w:val="000000"/>
              </w:rPr>
            </w:pPr>
          </w:p>
        </w:tc>
        <w:tc>
          <w:tcPr>
            <w:tcW w:w="2259" w:type="dxa"/>
          </w:tcPr>
          <w:p w:rsidR="007A5ECC" w:rsidRPr="00A970B2" w:rsidRDefault="007A5ECC" w:rsidP="0037705A">
            <w:pPr>
              <w:pStyle w:val="Paragrafoelenco"/>
              <w:ind w:left="0"/>
              <w:jc w:val="both"/>
              <w:rPr>
                <w:color w:val="000000"/>
              </w:rPr>
            </w:pPr>
            <w:r w:rsidRPr="00A970B2">
              <w:rPr>
                <w:color w:val="000000"/>
              </w:rPr>
              <w:t>Ricerca di Base</w:t>
            </w:r>
          </w:p>
          <w:p w:rsidR="007A5ECC" w:rsidRPr="00A970B2" w:rsidRDefault="007A5ECC" w:rsidP="0037705A">
            <w:pPr>
              <w:pStyle w:val="Paragrafoelenco"/>
              <w:ind w:left="0"/>
              <w:jc w:val="both"/>
              <w:rPr>
                <w:color w:val="000000"/>
              </w:rPr>
            </w:pPr>
          </w:p>
          <w:p w:rsidR="007A5ECC" w:rsidRPr="00A970B2" w:rsidRDefault="007A5ECC" w:rsidP="0037705A">
            <w:pPr>
              <w:pStyle w:val="Paragrafoelenco"/>
              <w:ind w:left="0"/>
              <w:jc w:val="both"/>
              <w:rPr>
                <w:color w:val="000000"/>
              </w:rPr>
            </w:pPr>
          </w:p>
          <w:p w:rsidR="007A5ECC" w:rsidRPr="00A970B2" w:rsidRDefault="007A5ECC" w:rsidP="0037705A">
            <w:pPr>
              <w:pStyle w:val="Paragrafoelenco"/>
              <w:ind w:left="0"/>
              <w:jc w:val="both"/>
              <w:rPr>
                <w:color w:val="000000"/>
              </w:rPr>
            </w:pPr>
            <w:r w:rsidRPr="00A970B2">
              <w:rPr>
                <w:color w:val="000000"/>
              </w:rPr>
              <w:t>R&amp;S per gli affari economici</w:t>
            </w:r>
          </w:p>
        </w:tc>
      </w:tr>
      <w:tr w:rsidR="007A5ECC" w:rsidTr="0037705A">
        <w:tc>
          <w:tcPr>
            <w:tcW w:w="1969" w:type="dxa"/>
          </w:tcPr>
          <w:p w:rsidR="007A5ECC" w:rsidRPr="00A970B2" w:rsidRDefault="007A5ECC" w:rsidP="0037705A">
            <w:pPr>
              <w:pStyle w:val="Paragrafoelenco"/>
              <w:ind w:left="0"/>
              <w:jc w:val="both"/>
              <w:rPr>
                <w:color w:val="000000"/>
              </w:rPr>
            </w:pPr>
            <w:r w:rsidRPr="00A970B2">
              <w:rPr>
                <w:color w:val="000000"/>
              </w:rPr>
              <w:t>Istruzione Universitaria</w:t>
            </w:r>
          </w:p>
        </w:tc>
        <w:tc>
          <w:tcPr>
            <w:tcW w:w="2976" w:type="dxa"/>
          </w:tcPr>
          <w:p w:rsidR="007A5ECC" w:rsidRPr="00A970B2" w:rsidRDefault="007A5ECC" w:rsidP="0037705A">
            <w:pPr>
              <w:pStyle w:val="Paragrafoelenco"/>
              <w:ind w:left="0"/>
              <w:jc w:val="both"/>
              <w:rPr>
                <w:color w:val="000000"/>
              </w:rPr>
            </w:pPr>
            <w:r w:rsidRPr="00A970B2">
              <w:rPr>
                <w:color w:val="000000"/>
              </w:rPr>
              <w:t>Sistema universitario e formazione post universitaria</w:t>
            </w:r>
          </w:p>
          <w:p w:rsidR="007A5ECC" w:rsidRPr="00A970B2" w:rsidRDefault="007A5ECC" w:rsidP="0037705A">
            <w:pPr>
              <w:pStyle w:val="Paragrafoelenco"/>
              <w:ind w:left="0"/>
              <w:jc w:val="both"/>
              <w:rPr>
                <w:color w:val="000000"/>
              </w:rPr>
            </w:pPr>
          </w:p>
          <w:p w:rsidR="007A5ECC" w:rsidRPr="00A970B2" w:rsidRDefault="007A5ECC" w:rsidP="0037705A">
            <w:pPr>
              <w:pStyle w:val="Paragrafoelenco"/>
              <w:ind w:left="0"/>
              <w:jc w:val="both"/>
              <w:rPr>
                <w:color w:val="000000"/>
              </w:rPr>
            </w:pPr>
            <w:r w:rsidRPr="00A970B2">
              <w:rPr>
                <w:color w:val="000000"/>
              </w:rPr>
              <w:t>Diritto allo studio nell’istruzione universitaria</w:t>
            </w:r>
          </w:p>
        </w:tc>
        <w:tc>
          <w:tcPr>
            <w:tcW w:w="1683" w:type="dxa"/>
          </w:tcPr>
          <w:p w:rsidR="007A5ECC" w:rsidRPr="00A970B2" w:rsidRDefault="007A5ECC" w:rsidP="0037705A">
            <w:pPr>
              <w:pStyle w:val="Paragrafoelenco"/>
              <w:ind w:left="0"/>
              <w:jc w:val="center"/>
              <w:rPr>
                <w:color w:val="000000"/>
              </w:rPr>
            </w:pPr>
            <w:r w:rsidRPr="00A970B2">
              <w:rPr>
                <w:color w:val="000000"/>
              </w:rPr>
              <w:t>09.4</w:t>
            </w:r>
          </w:p>
          <w:p w:rsidR="007A5ECC" w:rsidRPr="00A970B2" w:rsidRDefault="007A5ECC" w:rsidP="0037705A">
            <w:pPr>
              <w:pStyle w:val="Paragrafoelenco"/>
              <w:ind w:left="0"/>
              <w:jc w:val="center"/>
              <w:rPr>
                <w:color w:val="000000"/>
              </w:rPr>
            </w:pPr>
          </w:p>
          <w:p w:rsidR="007A5ECC" w:rsidRPr="00A970B2" w:rsidRDefault="007A5ECC" w:rsidP="0037705A">
            <w:pPr>
              <w:pStyle w:val="Paragrafoelenco"/>
              <w:ind w:left="0"/>
              <w:jc w:val="center"/>
              <w:rPr>
                <w:color w:val="000000"/>
              </w:rPr>
            </w:pPr>
          </w:p>
          <w:p w:rsidR="007A5ECC" w:rsidRPr="00A970B2" w:rsidRDefault="007A5ECC" w:rsidP="0037705A">
            <w:pPr>
              <w:pStyle w:val="Paragrafoelenco"/>
              <w:ind w:left="0"/>
              <w:jc w:val="center"/>
              <w:rPr>
                <w:color w:val="000000"/>
              </w:rPr>
            </w:pPr>
          </w:p>
          <w:p w:rsidR="007A5ECC" w:rsidRPr="00A970B2" w:rsidRDefault="007A5ECC" w:rsidP="0037705A">
            <w:pPr>
              <w:pStyle w:val="Paragrafoelenco"/>
              <w:ind w:left="0"/>
              <w:jc w:val="center"/>
              <w:rPr>
                <w:color w:val="000000"/>
              </w:rPr>
            </w:pPr>
            <w:r w:rsidRPr="00A970B2">
              <w:rPr>
                <w:color w:val="000000"/>
              </w:rPr>
              <w:t>09.6</w:t>
            </w:r>
          </w:p>
        </w:tc>
        <w:tc>
          <w:tcPr>
            <w:tcW w:w="2259" w:type="dxa"/>
          </w:tcPr>
          <w:p w:rsidR="007A5ECC" w:rsidRPr="00A970B2" w:rsidRDefault="007A5ECC" w:rsidP="0037705A">
            <w:pPr>
              <w:pStyle w:val="Paragrafoelenco"/>
              <w:ind w:left="0"/>
              <w:jc w:val="both"/>
              <w:rPr>
                <w:color w:val="000000"/>
              </w:rPr>
            </w:pPr>
            <w:r w:rsidRPr="00A970B2">
              <w:rPr>
                <w:color w:val="000000"/>
              </w:rPr>
              <w:t>Istruzione Superiore</w:t>
            </w:r>
          </w:p>
          <w:p w:rsidR="007A5ECC" w:rsidRPr="00A970B2" w:rsidRDefault="007A5ECC" w:rsidP="0037705A">
            <w:pPr>
              <w:pStyle w:val="Paragrafoelenco"/>
              <w:ind w:left="0"/>
              <w:jc w:val="both"/>
              <w:rPr>
                <w:color w:val="000000"/>
              </w:rPr>
            </w:pPr>
          </w:p>
          <w:p w:rsidR="007A5ECC" w:rsidRPr="00A970B2" w:rsidRDefault="007A5ECC" w:rsidP="0037705A">
            <w:pPr>
              <w:pStyle w:val="Paragrafoelenco"/>
              <w:ind w:left="0"/>
              <w:jc w:val="both"/>
              <w:rPr>
                <w:color w:val="000000"/>
              </w:rPr>
            </w:pPr>
          </w:p>
          <w:p w:rsidR="007A5ECC" w:rsidRPr="00A970B2" w:rsidRDefault="007A5ECC" w:rsidP="0037705A">
            <w:pPr>
              <w:pStyle w:val="Paragrafoelenco"/>
              <w:ind w:left="0"/>
              <w:jc w:val="both"/>
              <w:rPr>
                <w:color w:val="000000"/>
              </w:rPr>
            </w:pPr>
          </w:p>
          <w:p w:rsidR="007A5ECC" w:rsidRPr="00A970B2" w:rsidRDefault="007A5ECC" w:rsidP="0037705A">
            <w:pPr>
              <w:pStyle w:val="Paragrafoelenco"/>
              <w:ind w:left="0"/>
              <w:jc w:val="both"/>
              <w:rPr>
                <w:color w:val="000000"/>
              </w:rPr>
            </w:pPr>
            <w:r w:rsidRPr="00A970B2">
              <w:rPr>
                <w:color w:val="000000"/>
              </w:rPr>
              <w:t>Servizi ausiliari dell’istruzione</w:t>
            </w:r>
          </w:p>
        </w:tc>
      </w:tr>
      <w:tr w:rsidR="007A5ECC" w:rsidTr="0037705A">
        <w:tc>
          <w:tcPr>
            <w:tcW w:w="1969" w:type="dxa"/>
          </w:tcPr>
          <w:p w:rsidR="007A5ECC" w:rsidRPr="00A970B2" w:rsidRDefault="007A5ECC" w:rsidP="0037705A">
            <w:pPr>
              <w:pStyle w:val="Paragrafoelenco"/>
              <w:ind w:left="0"/>
              <w:jc w:val="both"/>
              <w:rPr>
                <w:color w:val="000000"/>
              </w:rPr>
            </w:pPr>
            <w:r w:rsidRPr="00A970B2">
              <w:rPr>
                <w:color w:val="000000"/>
              </w:rPr>
              <w:t>Servizi istituzionali e generali delle amministrazioni pubbliche</w:t>
            </w:r>
          </w:p>
        </w:tc>
        <w:tc>
          <w:tcPr>
            <w:tcW w:w="2976" w:type="dxa"/>
          </w:tcPr>
          <w:p w:rsidR="007A5ECC" w:rsidRPr="00A970B2" w:rsidRDefault="007A5ECC" w:rsidP="0037705A">
            <w:pPr>
              <w:pStyle w:val="Paragrafoelenco"/>
              <w:ind w:left="0"/>
              <w:jc w:val="both"/>
              <w:rPr>
                <w:color w:val="000000"/>
              </w:rPr>
            </w:pPr>
            <w:r w:rsidRPr="00A970B2">
              <w:rPr>
                <w:color w:val="000000"/>
              </w:rPr>
              <w:t>Indirizzo politico</w:t>
            </w:r>
          </w:p>
          <w:p w:rsidR="007A5ECC" w:rsidRPr="00A970B2" w:rsidRDefault="007A5ECC" w:rsidP="0037705A">
            <w:pPr>
              <w:pStyle w:val="Paragrafoelenco"/>
              <w:ind w:left="0"/>
              <w:jc w:val="both"/>
              <w:rPr>
                <w:color w:val="000000"/>
              </w:rPr>
            </w:pPr>
          </w:p>
          <w:p w:rsidR="007A5ECC" w:rsidRPr="00A970B2" w:rsidRDefault="007A5ECC" w:rsidP="0037705A">
            <w:pPr>
              <w:pStyle w:val="Paragrafoelenco"/>
              <w:ind w:left="0"/>
              <w:jc w:val="both"/>
              <w:rPr>
                <w:color w:val="000000"/>
              </w:rPr>
            </w:pPr>
          </w:p>
          <w:p w:rsidR="007A5ECC" w:rsidRPr="00A970B2" w:rsidRDefault="007A5ECC" w:rsidP="0037705A">
            <w:pPr>
              <w:pStyle w:val="Paragrafoelenco"/>
              <w:ind w:left="0"/>
              <w:jc w:val="both"/>
              <w:rPr>
                <w:color w:val="000000"/>
              </w:rPr>
            </w:pPr>
            <w:r w:rsidRPr="00A970B2">
              <w:rPr>
                <w:color w:val="000000"/>
              </w:rPr>
              <w:t>Servizi e affari generali per le amministrazioni</w:t>
            </w:r>
          </w:p>
        </w:tc>
        <w:tc>
          <w:tcPr>
            <w:tcW w:w="1683" w:type="dxa"/>
          </w:tcPr>
          <w:p w:rsidR="007A5ECC" w:rsidRPr="00A970B2" w:rsidRDefault="007A5ECC" w:rsidP="0037705A">
            <w:pPr>
              <w:pStyle w:val="Paragrafoelenco"/>
              <w:ind w:left="0"/>
              <w:jc w:val="center"/>
              <w:rPr>
                <w:color w:val="000000"/>
              </w:rPr>
            </w:pPr>
            <w:r w:rsidRPr="00A970B2">
              <w:rPr>
                <w:color w:val="000000"/>
              </w:rPr>
              <w:t>09.8</w:t>
            </w:r>
          </w:p>
          <w:p w:rsidR="007A5ECC" w:rsidRPr="00A970B2" w:rsidRDefault="007A5ECC" w:rsidP="0037705A">
            <w:pPr>
              <w:pStyle w:val="Paragrafoelenco"/>
              <w:ind w:left="0"/>
              <w:jc w:val="center"/>
              <w:rPr>
                <w:color w:val="000000"/>
              </w:rPr>
            </w:pPr>
          </w:p>
          <w:p w:rsidR="007A5ECC" w:rsidRPr="00A970B2" w:rsidRDefault="007A5ECC" w:rsidP="0037705A">
            <w:pPr>
              <w:pStyle w:val="Paragrafoelenco"/>
              <w:ind w:left="0"/>
              <w:jc w:val="center"/>
              <w:rPr>
                <w:color w:val="000000"/>
              </w:rPr>
            </w:pPr>
          </w:p>
          <w:p w:rsidR="007A5ECC" w:rsidRPr="00A970B2" w:rsidRDefault="007A5ECC" w:rsidP="0037705A">
            <w:pPr>
              <w:pStyle w:val="Paragrafoelenco"/>
              <w:ind w:left="0"/>
              <w:jc w:val="center"/>
              <w:rPr>
                <w:color w:val="000000"/>
              </w:rPr>
            </w:pPr>
            <w:r w:rsidRPr="00A970B2">
              <w:rPr>
                <w:color w:val="000000"/>
              </w:rPr>
              <w:t>09.8</w:t>
            </w:r>
          </w:p>
        </w:tc>
        <w:tc>
          <w:tcPr>
            <w:tcW w:w="2259" w:type="dxa"/>
          </w:tcPr>
          <w:p w:rsidR="007A5ECC" w:rsidRPr="00A970B2" w:rsidRDefault="007A5ECC" w:rsidP="0037705A">
            <w:pPr>
              <w:pStyle w:val="Paragrafoelenco"/>
              <w:ind w:left="0"/>
              <w:jc w:val="both"/>
              <w:rPr>
                <w:color w:val="000000"/>
              </w:rPr>
            </w:pPr>
            <w:r w:rsidRPr="00A970B2">
              <w:rPr>
                <w:color w:val="000000"/>
              </w:rPr>
              <w:t>Istruzione non altrove classificato</w:t>
            </w:r>
          </w:p>
          <w:p w:rsidR="007A5ECC" w:rsidRPr="00A970B2" w:rsidRDefault="007A5ECC" w:rsidP="0037705A">
            <w:pPr>
              <w:pStyle w:val="Paragrafoelenco"/>
              <w:ind w:left="0"/>
              <w:jc w:val="both"/>
              <w:rPr>
                <w:color w:val="000000"/>
              </w:rPr>
            </w:pPr>
          </w:p>
          <w:p w:rsidR="007A5ECC" w:rsidRPr="00A970B2" w:rsidRDefault="007A5ECC" w:rsidP="0037705A">
            <w:pPr>
              <w:pStyle w:val="Paragrafoelenco"/>
              <w:ind w:left="0"/>
              <w:jc w:val="both"/>
              <w:rPr>
                <w:color w:val="000000"/>
              </w:rPr>
            </w:pPr>
            <w:r w:rsidRPr="00A970B2">
              <w:rPr>
                <w:color w:val="000000"/>
              </w:rPr>
              <w:t>Istruzione non altrove classificato</w:t>
            </w:r>
          </w:p>
        </w:tc>
      </w:tr>
      <w:tr w:rsidR="007A5ECC" w:rsidTr="0037705A">
        <w:tc>
          <w:tcPr>
            <w:tcW w:w="1969" w:type="dxa"/>
          </w:tcPr>
          <w:p w:rsidR="007A5ECC" w:rsidRPr="00A970B2" w:rsidRDefault="007A5ECC" w:rsidP="0037705A">
            <w:pPr>
              <w:pStyle w:val="Paragrafoelenco"/>
              <w:ind w:left="0"/>
              <w:jc w:val="both"/>
              <w:rPr>
                <w:color w:val="000000"/>
              </w:rPr>
            </w:pPr>
            <w:r w:rsidRPr="00A970B2">
              <w:rPr>
                <w:color w:val="000000"/>
              </w:rPr>
              <w:t>Fondi da ripartire</w:t>
            </w:r>
          </w:p>
        </w:tc>
        <w:tc>
          <w:tcPr>
            <w:tcW w:w="2976" w:type="dxa"/>
          </w:tcPr>
          <w:p w:rsidR="007A5ECC" w:rsidRPr="00A970B2" w:rsidRDefault="007A5ECC" w:rsidP="0037705A">
            <w:pPr>
              <w:pStyle w:val="Paragrafoelenco"/>
              <w:ind w:left="0"/>
              <w:jc w:val="both"/>
              <w:rPr>
                <w:color w:val="000000"/>
              </w:rPr>
            </w:pPr>
            <w:r w:rsidRPr="00A970B2">
              <w:rPr>
                <w:color w:val="000000"/>
              </w:rPr>
              <w:t>Fondi da assegnare</w:t>
            </w:r>
          </w:p>
        </w:tc>
        <w:tc>
          <w:tcPr>
            <w:tcW w:w="1683" w:type="dxa"/>
          </w:tcPr>
          <w:p w:rsidR="007A5ECC" w:rsidRPr="00A970B2" w:rsidRDefault="007A5ECC" w:rsidP="0037705A">
            <w:pPr>
              <w:pStyle w:val="Paragrafoelenco"/>
              <w:ind w:left="0"/>
              <w:jc w:val="center"/>
              <w:rPr>
                <w:color w:val="000000"/>
              </w:rPr>
            </w:pPr>
            <w:r w:rsidRPr="00A970B2">
              <w:rPr>
                <w:color w:val="000000"/>
              </w:rPr>
              <w:t>09.8</w:t>
            </w:r>
          </w:p>
        </w:tc>
        <w:tc>
          <w:tcPr>
            <w:tcW w:w="2259" w:type="dxa"/>
          </w:tcPr>
          <w:p w:rsidR="007A5ECC" w:rsidRPr="00A970B2" w:rsidRDefault="007A5ECC" w:rsidP="0037705A">
            <w:pPr>
              <w:pStyle w:val="Paragrafoelenco"/>
              <w:ind w:left="0"/>
              <w:jc w:val="both"/>
              <w:rPr>
                <w:color w:val="000000"/>
              </w:rPr>
            </w:pPr>
            <w:r w:rsidRPr="00A970B2">
              <w:rPr>
                <w:color w:val="000000"/>
              </w:rPr>
              <w:t>Istruzione non altrove classificato</w:t>
            </w:r>
          </w:p>
        </w:tc>
      </w:tr>
    </w:tbl>
    <w:p w:rsidR="007A5ECC" w:rsidRPr="00E05797" w:rsidRDefault="007A5ECC" w:rsidP="00335A64">
      <w:pPr>
        <w:pStyle w:val="Paragrafoelenco"/>
        <w:jc w:val="both"/>
        <w:rPr>
          <w:color w:val="000000"/>
        </w:rPr>
      </w:pPr>
    </w:p>
    <w:p w:rsidR="007A5ECC" w:rsidRPr="00E05797" w:rsidRDefault="007A5ECC" w:rsidP="00335A64">
      <w:pPr>
        <w:pStyle w:val="Paragrafoelenco"/>
        <w:numPr>
          <w:ilvl w:val="0"/>
          <w:numId w:val="94"/>
        </w:numPr>
        <w:autoSpaceDE w:val="0"/>
        <w:autoSpaceDN w:val="0"/>
        <w:adjustRightInd w:val="0"/>
        <w:jc w:val="both"/>
        <w:rPr>
          <w:color w:val="000000"/>
        </w:rPr>
      </w:pPr>
      <w:r w:rsidRPr="00E05797">
        <w:rPr>
          <w:color w:val="000000"/>
        </w:rPr>
        <w:t>I documenti preventivi e consuntivi sono accompagnati da una Relazione sulla Gestione del Direttore Generale presentata dal Rettore e da una relazione del Collegio dei Revisori dei Conti. La Relazione sulla Gestione completa le informazioni riportate nei documenti sopra descritti e illustra i criteri adottati per la loro predisposizione.</w:t>
      </w:r>
    </w:p>
    <w:p w:rsidR="007A5ECC" w:rsidRPr="000F70A0" w:rsidRDefault="007A5ECC" w:rsidP="00503AD7">
      <w:pPr>
        <w:autoSpaceDE w:val="0"/>
        <w:autoSpaceDN w:val="0"/>
        <w:adjustRightInd w:val="0"/>
        <w:jc w:val="both"/>
        <w:rPr>
          <w:b/>
          <w:bCs/>
          <w:color w:val="000000"/>
        </w:rPr>
      </w:pPr>
    </w:p>
    <w:p w:rsidR="007A5ECC" w:rsidRPr="000F70A0" w:rsidRDefault="007A5ECC" w:rsidP="00503AD7">
      <w:pPr>
        <w:autoSpaceDE w:val="0"/>
        <w:autoSpaceDN w:val="0"/>
        <w:adjustRightInd w:val="0"/>
        <w:jc w:val="both"/>
        <w:rPr>
          <w:color w:val="000000"/>
        </w:rPr>
      </w:pPr>
    </w:p>
    <w:p w:rsidR="007A5ECC" w:rsidRDefault="007A5ECC" w:rsidP="00503AD7">
      <w:pPr>
        <w:autoSpaceDE w:val="0"/>
        <w:autoSpaceDN w:val="0"/>
        <w:adjustRightInd w:val="0"/>
        <w:jc w:val="both"/>
        <w:rPr>
          <w:b/>
          <w:bCs/>
          <w:color w:val="000000"/>
        </w:rPr>
      </w:pPr>
      <w:r w:rsidRPr="000F70A0">
        <w:rPr>
          <w:b/>
          <w:bCs/>
          <w:color w:val="000000"/>
        </w:rPr>
        <w:t>Art. 16 – Documenti contabili gestionali di sintesi</w:t>
      </w:r>
    </w:p>
    <w:p w:rsidR="007A5ECC" w:rsidRPr="000F70A0" w:rsidRDefault="007A5ECC" w:rsidP="00503AD7">
      <w:pPr>
        <w:autoSpaceDE w:val="0"/>
        <w:autoSpaceDN w:val="0"/>
        <w:adjustRightInd w:val="0"/>
        <w:jc w:val="both"/>
        <w:rPr>
          <w:b/>
          <w:bCs/>
          <w:color w:val="000000"/>
        </w:rPr>
      </w:pPr>
    </w:p>
    <w:p w:rsidR="007A5ECC" w:rsidRDefault="007A5ECC" w:rsidP="004141EC">
      <w:pPr>
        <w:numPr>
          <w:ilvl w:val="0"/>
          <w:numId w:val="13"/>
        </w:numPr>
        <w:tabs>
          <w:tab w:val="clear" w:pos="1440"/>
          <w:tab w:val="num" w:pos="360"/>
        </w:tabs>
        <w:autoSpaceDE w:val="0"/>
        <w:autoSpaceDN w:val="0"/>
        <w:adjustRightInd w:val="0"/>
        <w:ind w:left="360"/>
        <w:jc w:val="both"/>
        <w:rPr>
          <w:color w:val="000000"/>
        </w:rPr>
      </w:pPr>
      <w:r w:rsidRPr="00DD4317">
        <w:rPr>
          <w:color w:val="000000"/>
        </w:rPr>
        <w:t xml:space="preserve">I documenti contabili gestionali di sintesi sono redatti a preventivo e a consuntivo sulla base </w:t>
      </w:r>
      <w:r>
        <w:rPr>
          <w:color w:val="000000"/>
        </w:rPr>
        <w:t>di quanto indicato dal</w:t>
      </w:r>
      <w:r w:rsidRPr="00DD4317">
        <w:rPr>
          <w:color w:val="000000"/>
        </w:rPr>
        <w:t xml:space="preserve"> Manuale del Controllo di Gestione e sono finalizzati, in particolare, al monitoraggio dell’equilibrio economico e finanziario nel corso dell’esercizio.</w:t>
      </w:r>
    </w:p>
    <w:p w:rsidR="00A01248" w:rsidRPr="00DD4317" w:rsidRDefault="00A01248" w:rsidP="00A01248">
      <w:pPr>
        <w:autoSpaceDE w:val="0"/>
        <w:autoSpaceDN w:val="0"/>
        <w:adjustRightInd w:val="0"/>
        <w:ind w:left="360"/>
        <w:jc w:val="both"/>
        <w:rPr>
          <w:color w:val="000000"/>
        </w:rPr>
      </w:pPr>
    </w:p>
    <w:p w:rsidR="007A5ECC" w:rsidRDefault="007A5ECC" w:rsidP="00503AD7">
      <w:pPr>
        <w:autoSpaceDE w:val="0"/>
        <w:autoSpaceDN w:val="0"/>
        <w:adjustRightInd w:val="0"/>
        <w:jc w:val="center"/>
        <w:rPr>
          <w:bCs/>
          <w:color w:val="000000"/>
        </w:rPr>
      </w:pPr>
    </w:p>
    <w:p w:rsidR="007A5ECC" w:rsidRPr="00503AD7" w:rsidRDefault="007A5ECC" w:rsidP="00503AD7">
      <w:pPr>
        <w:autoSpaceDE w:val="0"/>
        <w:autoSpaceDN w:val="0"/>
        <w:adjustRightInd w:val="0"/>
        <w:jc w:val="center"/>
        <w:rPr>
          <w:b/>
          <w:bCs/>
          <w:color w:val="000000"/>
        </w:rPr>
      </w:pPr>
      <w:r w:rsidRPr="00503AD7">
        <w:rPr>
          <w:b/>
          <w:bCs/>
          <w:color w:val="000000"/>
        </w:rPr>
        <w:t>CAPO III – GESTIONE ECONOMICO PATRIMONIALE</w:t>
      </w:r>
    </w:p>
    <w:p w:rsidR="007A5ECC" w:rsidRDefault="007A5ECC" w:rsidP="00503AD7">
      <w:pPr>
        <w:autoSpaceDE w:val="0"/>
        <w:autoSpaceDN w:val="0"/>
        <w:adjustRightInd w:val="0"/>
        <w:jc w:val="center"/>
        <w:rPr>
          <w:b/>
          <w:bCs/>
          <w:color w:val="000000"/>
        </w:rPr>
      </w:pPr>
      <w:r w:rsidRPr="00503AD7">
        <w:rPr>
          <w:b/>
          <w:bCs/>
          <w:color w:val="000000"/>
        </w:rPr>
        <w:t>Sezione I – ORGANIZZAZIONE E FUNZIONI</w:t>
      </w:r>
    </w:p>
    <w:p w:rsidR="007A5ECC" w:rsidRPr="00503AD7" w:rsidRDefault="007A5ECC" w:rsidP="00503AD7">
      <w:pPr>
        <w:autoSpaceDE w:val="0"/>
        <w:autoSpaceDN w:val="0"/>
        <w:adjustRightInd w:val="0"/>
        <w:jc w:val="center"/>
        <w:rPr>
          <w:b/>
          <w:bCs/>
          <w:color w:val="000000"/>
        </w:rPr>
      </w:pPr>
    </w:p>
    <w:p w:rsidR="007A5ECC" w:rsidRPr="000F70A0" w:rsidRDefault="007A5ECC" w:rsidP="00503AD7">
      <w:pPr>
        <w:pStyle w:val="Default"/>
        <w:spacing w:line="240" w:lineRule="auto"/>
        <w:rPr>
          <w:sz w:val="22"/>
          <w:szCs w:val="22"/>
        </w:rPr>
      </w:pPr>
      <w:r w:rsidRPr="000F70A0">
        <w:rPr>
          <w:b/>
          <w:bCs/>
          <w:sz w:val="22"/>
          <w:szCs w:val="22"/>
        </w:rPr>
        <w:t>Art. 17 – Premesse</w:t>
      </w:r>
    </w:p>
    <w:p w:rsidR="007A5ECC" w:rsidRPr="000F70A0" w:rsidRDefault="007A5ECC" w:rsidP="00503AD7">
      <w:pPr>
        <w:numPr>
          <w:ilvl w:val="0"/>
          <w:numId w:val="14"/>
        </w:numPr>
        <w:tabs>
          <w:tab w:val="left" w:pos="360"/>
          <w:tab w:val="num" w:pos="720"/>
        </w:tabs>
        <w:autoSpaceDE w:val="0"/>
        <w:autoSpaceDN w:val="0"/>
        <w:adjustRightInd w:val="0"/>
        <w:ind w:hanging="1440"/>
        <w:jc w:val="both"/>
        <w:rPr>
          <w:color w:val="000000"/>
        </w:rPr>
      </w:pPr>
      <w:r w:rsidRPr="000F70A0">
        <w:rPr>
          <w:color w:val="000000"/>
        </w:rPr>
        <w:t>La gestione contabile di Ateneo si articola nelle seguenti fasi:</w:t>
      </w:r>
    </w:p>
    <w:p w:rsidR="007A5ECC" w:rsidRPr="000F70A0" w:rsidRDefault="007A5ECC" w:rsidP="00503AD7">
      <w:pPr>
        <w:numPr>
          <w:ilvl w:val="1"/>
          <w:numId w:val="14"/>
        </w:numPr>
        <w:tabs>
          <w:tab w:val="left" w:pos="360"/>
          <w:tab w:val="num" w:pos="720"/>
        </w:tabs>
        <w:autoSpaceDE w:val="0"/>
        <w:autoSpaceDN w:val="0"/>
        <w:adjustRightInd w:val="0"/>
        <w:ind w:hanging="1080"/>
        <w:jc w:val="both"/>
        <w:rPr>
          <w:color w:val="000000"/>
        </w:rPr>
      </w:pPr>
      <w:proofErr w:type="gramStart"/>
      <w:r w:rsidRPr="000F70A0">
        <w:rPr>
          <w:color w:val="000000"/>
        </w:rPr>
        <w:t>programmazione</w:t>
      </w:r>
      <w:proofErr w:type="gramEnd"/>
      <w:r w:rsidRPr="000F70A0">
        <w:rPr>
          <w:color w:val="000000"/>
        </w:rPr>
        <w:t>;</w:t>
      </w:r>
    </w:p>
    <w:p w:rsidR="007A5ECC" w:rsidRPr="000F70A0" w:rsidRDefault="007A5ECC" w:rsidP="00503AD7">
      <w:pPr>
        <w:numPr>
          <w:ilvl w:val="1"/>
          <w:numId w:val="14"/>
        </w:numPr>
        <w:tabs>
          <w:tab w:val="left" w:pos="360"/>
          <w:tab w:val="num" w:pos="720"/>
        </w:tabs>
        <w:autoSpaceDE w:val="0"/>
        <w:autoSpaceDN w:val="0"/>
        <w:adjustRightInd w:val="0"/>
        <w:ind w:hanging="1080"/>
        <w:jc w:val="both"/>
        <w:rPr>
          <w:color w:val="000000"/>
        </w:rPr>
      </w:pPr>
      <w:proofErr w:type="gramStart"/>
      <w:r w:rsidRPr="000F70A0">
        <w:rPr>
          <w:color w:val="000000"/>
        </w:rPr>
        <w:t>gestione</w:t>
      </w:r>
      <w:proofErr w:type="gramEnd"/>
      <w:r w:rsidRPr="000F70A0">
        <w:rPr>
          <w:color w:val="000000"/>
        </w:rPr>
        <w:t>;</w:t>
      </w:r>
    </w:p>
    <w:p w:rsidR="007A5ECC" w:rsidRPr="000F70A0" w:rsidRDefault="007A5ECC" w:rsidP="00503AD7">
      <w:pPr>
        <w:numPr>
          <w:ilvl w:val="1"/>
          <w:numId w:val="14"/>
        </w:numPr>
        <w:tabs>
          <w:tab w:val="left" w:pos="360"/>
          <w:tab w:val="num" w:pos="720"/>
        </w:tabs>
        <w:autoSpaceDE w:val="0"/>
        <w:autoSpaceDN w:val="0"/>
        <w:adjustRightInd w:val="0"/>
        <w:ind w:hanging="1080"/>
        <w:jc w:val="both"/>
        <w:rPr>
          <w:color w:val="000000"/>
        </w:rPr>
      </w:pPr>
      <w:proofErr w:type="gramStart"/>
      <w:r w:rsidRPr="000F70A0">
        <w:rPr>
          <w:color w:val="000000"/>
        </w:rPr>
        <w:t>consuntivazione</w:t>
      </w:r>
      <w:proofErr w:type="gramEnd"/>
      <w:r w:rsidRPr="000F70A0">
        <w:rPr>
          <w:color w:val="000000"/>
        </w:rPr>
        <w:t>;</w:t>
      </w:r>
    </w:p>
    <w:p w:rsidR="007A5ECC" w:rsidRPr="000F70A0" w:rsidRDefault="007A5ECC" w:rsidP="00503AD7">
      <w:pPr>
        <w:numPr>
          <w:ilvl w:val="1"/>
          <w:numId w:val="14"/>
        </w:numPr>
        <w:tabs>
          <w:tab w:val="left" w:pos="360"/>
          <w:tab w:val="num" w:pos="720"/>
        </w:tabs>
        <w:autoSpaceDE w:val="0"/>
        <w:autoSpaceDN w:val="0"/>
        <w:adjustRightInd w:val="0"/>
        <w:ind w:hanging="1080"/>
        <w:jc w:val="both"/>
        <w:rPr>
          <w:color w:val="000000"/>
        </w:rPr>
      </w:pPr>
      <w:proofErr w:type="gramStart"/>
      <w:r w:rsidRPr="000F70A0">
        <w:rPr>
          <w:color w:val="000000"/>
        </w:rPr>
        <w:t>revisione</w:t>
      </w:r>
      <w:proofErr w:type="gramEnd"/>
      <w:r w:rsidRPr="000F70A0">
        <w:rPr>
          <w:color w:val="000000"/>
        </w:rPr>
        <w:t xml:space="preserve"> della previsione.</w:t>
      </w:r>
    </w:p>
    <w:p w:rsidR="007A5ECC" w:rsidRPr="000F70A0" w:rsidRDefault="007A5ECC" w:rsidP="00503AD7">
      <w:pPr>
        <w:numPr>
          <w:ilvl w:val="0"/>
          <w:numId w:val="14"/>
        </w:numPr>
        <w:tabs>
          <w:tab w:val="clear" w:pos="1440"/>
          <w:tab w:val="num" w:pos="360"/>
        </w:tabs>
        <w:autoSpaceDE w:val="0"/>
        <w:autoSpaceDN w:val="0"/>
        <w:adjustRightInd w:val="0"/>
        <w:ind w:left="360"/>
        <w:jc w:val="both"/>
        <w:rPr>
          <w:color w:val="000000"/>
        </w:rPr>
      </w:pPr>
      <w:r w:rsidRPr="000F70A0">
        <w:rPr>
          <w:color w:val="000000"/>
        </w:rPr>
        <w:t xml:space="preserve">Gli organi, i soggetti e le strutture coinvolte nel processo contabile sono: Senato Accademico, Consiglio di Amministrazione, Rettore, </w:t>
      </w:r>
      <w:r>
        <w:rPr>
          <w:color w:val="000000"/>
        </w:rPr>
        <w:t>Direttore Generale,</w:t>
      </w:r>
      <w:r w:rsidRPr="000F70A0">
        <w:rPr>
          <w:color w:val="000000"/>
        </w:rPr>
        <w:t xml:space="preserve"> i </w:t>
      </w:r>
      <w:r>
        <w:rPr>
          <w:color w:val="000000"/>
        </w:rPr>
        <w:t xml:space="preserve">Dipartimenti e gli altri </w:t>
      </w:r>
      <w:r w:rsidRPr="000F70A0">
        <w:rPr>
          <w:color w:val="000000"/>
        </w:rPr>
        <w:t xml:space="preserve">Centri </w:t>
      </w:r>
      <w:r>
        <w:rPr>
          <w:color w:val="000000"/>
        </w:rPr>
        <w:t xml:space="preserve">autonomi </w:t>
      </w:r>
      <w:r w:rsidRPr="000F70A0">
        <w:rPr>
          <w:color w:val="000000"/>
        </w:rPr>
        <w:t>di gestione.</w:t>
      </w:r>
    </w:p>
    <w:p w:rsidR="007A5ECC" w:rsidRDefault="007A5ECC" w:rsidP="00503AD7">
      <w:pPr>
        <w:numPr>
          <w:ilvl w:val="0"/>
          <w:numId w:val="14"/>
        </w:numPr>
        <w:tabs>
          <w:tab w:val="clear" w:pos="1440"/>
          <w:tab w:val="num" w:pos="360"/>
        </w:tabs>
        <w:autoSpaceDE w:val="0"/>
        <w:autoSpaceDN w:val="0"/>
        <w:adjustRightInd w:val="0"/>
        <w:ind w:left="360"/>
        <w:jc w:val="both"/>
        <w:rPr>
          <w:color w:val="000000"/>
        </w:rPr>
      </w:pPr>
      <w:r w:rsidRPr="000F70A0">
        <w:rPr>
          <w:color w:val="000000"/>
        </w:rPr>
        <w:t>Il Direttore Generale definisce l’organizzazione del servizio contabile, sulla base dei principi enunciati nel Titolo I del presente regolamento.</w:t>
      </w:r>
    </w:p>
    <w:p w:rsidR="007A5ECC" w:rsidRPr="000F70A0" w:rsidRDefault="007A5ECC" w:rsidP="00503AD7">
      <w:pPr>
        <w:autoSpaceDE w:val="0"/>
        <w:autoSpaceDN w:val="0"/>
        <w:adjustRightInd w:val="0"/>
        <w:jc w:val="both"/>
        <w:rPr>
          <w:color w:val="000000"/>
        </w:rPr>
      </w:pPr>
    </w:p>
    <w:p w:rsidR="007A5ECC" w:rsidRDefault="007A5ECC" w:rsidP="00503AD7">
      <w:pPr>
        <w:autoSpaceDE w:val="0"/>
        <w:autoSpaceDN w:val="0"/>
        <w:adjustRightInd w:val="0"/>
        <w:jc w:val="both"/>
        <w:rPr>
          <w:b/>
          <w:bCs/>
          <w:color w:val="000000"/>
        </w:rPr>
      </w:pPr>
      <w:r w:rsidRPr="000F70A0">
        <w:rPr>
          <w:b/>
          <w:bCs/>
          <w:color w:val="000000"/>
        </w:rPr>
        <w:t>Art. 18 – Competenze e responsabilità degli organi, dei soggetti e delle strutture coinvolti nella gestione e nei processi contabili</w:t>
      </w:r>
    </w:p>
    <w:p w:rsidR="007A5ECC" w:rsidRPr="000F70A0" w:rsidRDefault="007A5ECC" w:rsidP="00503AD7">
      <w:pPr>
        <w:autoSpaceDE w:val="0"/>
        <w:autoSpaceDN w:val="0"/>
        <w:adjustRightInd w:val="0"/>
        <w:jc w:val="both"/>
        <w:rPr>
          <w:b/>
          <w:bCs/>
          <w:color w:val="000000"/>
        </w:rPr>
      </w:pPr>
    </w:p>
    <w:p w:rsidR="007A5ECC" w:rsidRPr="000F70A0" w:rsidRDefault="007A5ECC" w:rsidP="00503AD7">
      <w:pPr>
        <w:numPr>
          <w:ilvl w:val="0"/>
          <w:numId w:val="15"/>
        </w:numPr>
        <w:tabs>
          <w:tab w:val="clear" w:pos="1440"/>
          <w:tab w:val="num" w:pos="360"/>
        </w:tabs>
        <w:autoSpaceDE w:val="0"/>
        <w:autoSpaceDN w:val="0"/>
        <w:adjustRightInd w:val="0"/>
        <w:ind w:left="360"/>
        <w:jc w:val="both"/>
        <w:rPr>
          <w:color w:val="000000"/>
        </w:rPr>
      </w:pPr>
      <w:r w:rsidRPr="000F70A0">
        <w:rPr>
          <w:color w:val="000000"/>
        </w:rPr>
        <w:t>Gli organi collegiali e monocratici interessati nel processo contabile sono:</w:t>
      </w:r>
    </w:p>
    <w:p w:rsidR="007A5ECC" w:rsidRPr="000F70A0" w:rsidRDefault="007A5ECC" w:rsidP="00503AD7">
      <w:pPr>
        <w:numPr>
          <w:ilvl w:val="1"/>
          <w:numId w:val="15"/>
        </w:numPr>
        <w:tabs>
          <w:tab w:val="left" w:pos="720"/>
        </w:tabs>
        <w:autoSpaceDE w:val="0"/>
        <w:autoSpaceDN w:val="0"/>
        <w:adjustRightInd w:val="0"/>
        <w:ind w:hanging="1080"/>
        <w:jc w:val="both"/>
        <w:rPr>
          <w:color w:val="000000"/>
        </w:rPr>
      </w:pPr>
      <w:r w:rsidRPr="000F70A0">
        <w:rPr>
          <w:color w:val="000000"/>
        </w:rPr>
        <w:t>Rettore</w:t>
      </w:r>
    </w:p>
    <w:p w:rsidR="007A5ECC" w:rsidRPr="000F70A0" w:rsidRDefault="007A5ECC" w:rsidP="00503AD7">
      <w:pPr>
        <w:numPr>
          <w:ilvl w:val="1"/>
          <w:numId w:val="15"/>
        </w:numPr>
        <w:tabs>
          <w:tab w:val="left" w:pos="720"/>
        </w:tabs>
        <w:autoSpaceDE w:val="0"/>
        <w:autoSpaceDN w:val="0"/>
        <w:adjustRightInd w:val="0"/>
        <w:ind w:hanging="1080"/>
        <w:jc w:val="both"/>
        <w:rPr>
          <w:color w:val="000000"/>
        </w:rPr>
      </w:pPr>
      <w:r w:rsidRPr="000F70A0">
        <w:rPr>
          <w:color w:val="000000"/>
        </w:rPr>
        <w:t>Senato Accademico</w:t>
      </w:r>
    </w:p>
    <w:p w:rsidR="007A5ECC" w:rsidRPr="000F70A0" w:rsidRDefault="007A5ECC" w:rsidP="00503AD7">
      <w:pPr>
        <w:numPr>
          <w:ilvl w:val="1"/>
          <w:numId w:val="15"/>
        </w:numPr>
        <w:tabs>
          <w:tab w:val="left" w:pos="720"/>
        </w:tabs>
        <w:autoSpaceDE w:val="0"/>
        <w:autoSpaceDN w:val="0"/>
        <w:adjustRightInd w:val="0"/>
        <w:ind w:hanging="1080"/>
        <w:jc w:val="both"/>
        <w:rPr>
          <w:color w:val="000000"/>
        </w:rPr>
      </w:pPr>
      <w:r w:rsidRPr="000F70A0">
        <w:rPr>
          <w:color w:val="000000"/>
        </w:rPr>
        <w:t>Consiglio di Amministrazione</w:t>
      </w:r>
    </w:p>
    <w:p w:rsidR="007A5ECC" w:rsidRPr="000F70A0" w:rsidRDefault="007A5ECC" w:rsidP="00503AD7">
      <w:pPr>
        <w:numPr>
          <w:ilvl w:val="1"/>
          <w:numId w:val="15"/>
        </w:numPr>
        <w:tabs>
          <w:tab w:val="left" w:pos="720"/>
        </w:tabs>
        <w:autoSpaceDE w:val="0"/>
        <w:autoSpaceDN w:val="0"/>
        <w:adjustRightInd w:val="0"/>
        <w:ind w:hanging="1080"/>
        <w:jc w:val="both"/>
        <w:rPr>
          <w:color w:val="000000"/>
        </w:rPr>
      </w:pPr>
      <w:r w:rsidRPr="000F70A0">
        <w:rPr>
          <w:color w:val="000000"/>
        </w:rPr>
        <w:t>Direttore Generale.</w:t>
      </w:r>
    </w:p>
    <w:p w:rsidR="007A5ECC" w:rsidRPr="000F70A0" w:rsidRDefault="007A5ECC" w:rsidP="00503AD7">
      <w:pPr>
        <w:numPr>
          <w:ilvl w:val="0"/>
          <w:numId w:val="40"/>
        </w:numPr>
        <w:tabs>
          <w:tab w:val="num" w:pos="360"/>
        </w:tabs>
        <w:autoSpaceDE w:val="0"/>
        <w:autoSpaceDN w:val="0"/>
        <w:adjustRightInd w:val="0"/>
        <w:ind w:left="360" w:hanging="360"/>
        <w:jc w:val="both"/>
        <w:rPr>
          <w:color w:val="000000"/>
        </w:rPr>
      </w:pPr>
      <w:r w:rsidRPr="000F70A0">
        <w:rPr>
          <w:color w:val="000000"/>
        </w:rPr>
        <w:t>Relativamente allo svolgimento dei processi contabili, le funzioni che attengono agli organi di cui al primo comma, come previste nello Statuto, sono:</w:t>
      </w:r>
    </w:p>
    <w:p w:rsidR="007A5ECC" w:rsidRPr="000F70A0" w:rsidRDefault="007A5ECC" w:rsidP="00503AD7">
      <w:pPr>
        <w:numPr>
          <w:ilvl w:val="0"/>
          <w:numId w:val="93"/>
        </w:numPr>
        <w:tabs>
          <w:tab w:val="clear" w:pos="2880"/>
          <w:tab w:val="num" w:pos="720"/>
        </w:tabs>
        <w:autoSpaceDE w:val="0"/>
        <w:autoSpaceDN w:val="0"/>
        <w:adjustRightInd w:val="0"/>
        <w:ind w:hanging="2520"/>
        <w:jc w:val="both"/>
        <w:rPr>
          <w:color w:val="000000"/>
        </w:rPr>
      </w:pPr>
      <w:r w:rsidRPr="000F70A0">
        <w:rPr>
          <w:bCs/>
          <w:iCs/>
          <w:color w:val="000000"/>
        </w:rPr>
        <w:t>Rettore:</w:t>
      </w:r>
    </w:p>
    <w:p w:rsidR="007A5ECC" w:rsidRPr="000F70A0" w:rsidRDefault="007A5ECC" w:rsidP="00503AD7">
      <w:pPr>
        <w:numPr>
          <w:ilvl w:val="6"/>
          <w:numId w:val="40"/>
        </w:numPr>
        <w:tabs>
          <w:tab w:val="clear" w:pos="1440"/>
          <w:tab w:val="num" w:pos="1080"/>
        </w:tabs>
        <w:autoSpaceDE w:val="0"/>
        <w:autoSpaceDN w:val="0"/>
        <w:adjustRightInd w:val="0"/>
        <w:ind w:left="1080"/>
        <w:jc w:val="both"/>
        <w:rPr>
          <w:color w:val="000000"/>
        </w:rPr>
      </w:pPr>
      <w:proofErr w:type="gramStart"/>
      <w:r w:rsidRPr="000F70A0">
        <w:rPr>
          <w:color w:val="000000"/>
        </w:rPr>
        <w:t>proporre</w:t>
      </w:r>
      <w:proofErr w:type="gramEnd"/>
      <w:r w:rsidRPr="000F70A0">
        <w:rPr>
          <w:color w:val="000000"/>
        </w:rPr>
        <w:t xml:space="preserve"> al Consiglio di Amministrazione i documenti contabili, patrimoniali e finanziari, annuali e pluriennali, previsti dalle norme vigenti;</w:t>
      </w:r>
    </w:p>
    <w:p w:rsidR="007A5ECC" w:rsidRPr="000F70A0" w:rsidRDefault="007A5ECC" w:rsidP="00503AD7">
      <w:pPr>
        <w:numPr>
          <w:ilvl w:val="6"/>
          <w:numId w:val="40"/>
        </w:numPr>
        <w:tabs>
          <w:tab w:val="clear" w:pos="1440"/>
          <w:tab w:val="num" w:pos="1080"/>
        </w:tabs>
        <w:autoSpaceDE w:val="0"/>
        <w:autoSpaceDN w:val="0"/>
        <w:adjustRightInd w:val="0"/>
        <w:ind w:left="1080"/>
        <w:jc w:val="both"/>
        <w:rPr>
          <w:color w:val="000000"/>
        </w:rPr>
      </w:pPr>
      <w:proofErr w:type="gramStart"/>
      <w:r w:rsidRPr="000F70A0">
        <w:rPr>
          <w:color w:val="000000"/>
        </w:rPr>
        <w:t>rappresentare</w:t>
      </w:r>
      <w:proofErr w:type="gramEnd"/>
      <w:r w:rsidRPr="000F70A0">
        <w:rPr>
          <w:color w:val="000000"/>
        </w:rPr>
        <w:t xml:space="preserve"> il Politecnico nella stipula di contratti e convenzioni non affidati alla competenza del Direttore Generale o dei </w:t>
      </w:r>
      <w:r>
        <w:rPr>
          <w:color w:val="000000"/>
        </w:rPr>
        <w:t xml:space="preserve">Dipartimenti e degli altri </w:t>
      </w:r>
      <w:r w:rsidRPr="000F70A0">
        <w:rPr>
          <w:color w:val="000000"/>
        </w:rPr>
        <w:t>Centri</w:t>
      </w:r>
      <w:r>
        <w:rPr>
          <w:color w:val="000000"/>
        </w:rPr>
        <w:t xml:space="preserve"> autonomi</w:t>
      </w:r>
      <w:r w:rsidRPr="000F70A0">
        <w:rPr>
          <w:color w:val="000000"/>
        </w:rPr>
        <w:t xml:space="preserve"> di Gestione;</w:t>
      </w:r>
    </w:p>
    <w:p w:rsidR="007A5ECC" w:rsidRPr="000F70A0" w:rsidRDefault="007A5ECC" w:rsidP="00503AD7">
      <w:pPr>
        <w:numPr>
          <w:ilvl w:val="6"/>
          <w:numId w:val="40"/>
        </w:numPr>
        <w:tabs>
          <w:tab w:val="clear" w:pos="1440"/>
          <w:tab w:val="num" w:pos="1080"/>
          <w:tab w:val="num" w:pos="5940"/>
        </w:tabs>
        <w:autoSpaceDE w:val="0"/>
        <w:autoSpaceDN w:val="0"/>
        <w:adjustRightInd w:val="0"/>
        <w:ind w:left="1080"/>
        <w:jc w:val="both"/>
        <w:rPr>
          <w:color w:val="000000"/>
        </w:rPr>
      </w:pPr>
      <w:proofErr w:type="gramStart"/>
      <w:r w:rsidRPr="000F70A0">
        <w:rPr>
          <w:color w:val="000000"/>
        </w:rPr>
        <w:t>adottare</w:t>
      </w:r>
      <w:proofErr w:type="gramEnd"/>
      <w:r w:rsidRPr="000F70A0">
        <w:rPr>
          <w:color w:val="000000"/>
        </w:rPr>
        <w:t xml:space="preserve"> in caso di necessità e obiettiva urgenza necessari gli adeguati provvedimenti amministrativi di competenza del Consiglio di Amministrazione e del Senato Accademico, sottoponendoli, per ratifica, nella seduta successiva.</w:t>
      </w:r>
    </w:p>
    <w:p w:rsidR="007A5ECC" w:rsidRPr="000F70A0" w:rsidRDefault="007A5ECC" w:rsidP="00503AD7">
      <w:pPr>
        <w:numPr>
          <w:ilvl w:val="1"/>
          <w:numId w:val="40"/>
        </w:numPr>
        <w:tabs>
          <w:tab w:val="num" w:pos="720"/>
        </w:tabs>
        <w:autoSpaceDE w:val="0"/>
        <w:autoSpaceDN w:val="0"/>
        <w:adjustRightInd w:val="0"/>
        <w:ind w:hanging="1080"/>
        <w:jc w:val="both"/>
        <w:rPr>
          <w:bCs/>
          <w:color w:val="000000"/>
        </w:rPr>
      </w:pPr>
      <w:r w:rsidRPr="000F70A0">
        <w:rPr>
          <w:bCs/>
          <w:color w:val="000000"/>
        </w:rPr>
        <w:t>Senato Accademico:</w:t>
      </w:r>
    </w:p>
    <w:p w:rsidR="007A5ECC" w:rsidRPr="000F70A0" w:rsidRDefault="007A5ECC" w:rsidP="00503AD7">
      <w:pPr>
        <w:numPr>
          <w:ilvl w:val="2"/>
          <w:numId w:val="40"/>
        </w:numPr>
        <w:tabs>
          <w:tab w:val="clear" w:pos="2160"/>
        </w:tabs>
        <w:autoSpaceDE w:val="0"/>
        <w:autoSpaceDN w:val="0"/>
        <w:adjustRightInd w:val="0"/>
        <w:ind w:left="1080"/>
        <w:jc w:val="both"/>
        <w:rPr>
          <w:color w:val="000000"/>
        </w:rPr>
      </w:pPr>
      <w:proofErr w:type="gramStart"/>
      <w:r w:rsidRPr="000F70A0">
        <w:rPr>
          <w:color w:val="000000"/>
        </w:rPr>
        <w:t>elaborare</w:t>
      </w:r>
      <w:proofErr w:type="gramEnd"/>
      <w:r w:rsidRPr="000F70A0">
        <w:rPr>
          <w:color w:val="000000"/>
        </w:rPr>
        <w:t xml:space="preserve"> proposte e pareri obbligatori riguardo al documento di programmazione strategica pluriennale, al Bilancio Unico di Ateneo di previsione annuale e pluriennale e al Bilancio Unico di Ateneo consuntivo;</w:t>
      </w:r>
    </w:p>
    <w:p w:rsidR="007A5ECC" w:rsidRPr="008711C0" w:rsidRDefault="007A5ECC" w:rsidP="008711C0">
      <w:pPr>
        <w:numPr>
          <w:ilvl w:val="2"/>
          <w:numId w:val="40"/>
        </w:numPr>
        <w:tabs>
          <w:tab w:val="clear" w:pos="2160"/>
          <w:tab w:val="num" w:pos="1080"/>
        </w:tabs>
        <w:autoSpaceDE w:val="0"/>
        <w:autoSpaceDN w:val="0"/>
        <w:adjustRightInd w:val="0"/>
        <w:ind w:left="1080"/>
        <w:jc w:val="both"/>
        <w:rPr>
          <w:color w:val="000000"/>
        </w:rPr>
      </w:pPr>
      <w:proofErr w:type="gramStart"/>
      <w:r w:rsidRPr="000F70A0">
        <w:rPr>
          <w:color w:val="000000"/>
        </w:rPr>
        <w:t>determinare</w:t>
      </w:r>
      <w:proofErr w:type="gramEnd"/>
      <w:r w:rsidRPr="000F70A0">
        <w:rPr>
          <w:color w:val="000000"/>
        </w:rPr>
        <w:t xml:space="preserve"> i criteri per l’attribuzione delle risorse ai </w:t>
      </w:r>
      <w:r>
        <w:rPr>
          <w:color w:val="000000"/>
        </w:rPr>
        <w:t xml:space="preserve">Dipartimenti e agli altri </w:t>
      </w:r>
      <w:r w:rsidRPr="000F70A0">
        <w:rPr>
          <w:color w:val="000000"/>
        </w:rPr>
        <w:t xml:space="preserve">Centri </w:t>
      </w:r>
      <w:r>
        <w:rPr>
          <w:color w:val="000000"/>
        </w:rPr>
        <w:t xml:space="preserve">autonomi </w:t>
      </w:r>
      <w:r w:rsidRPr="008711C0">
        <w:rPr>
          <w:color w:val="000000"/>
        </w:rPr>
        <w:t>di Gestione.</w:t>
      </w:r>
    </w:p>
    <w:p w:rsidR="007A5ECC" w:rsidRPr="000F70A0" w:rsidRDefault="007A5ECC" w:rsidP="00503AD7">
      <w:pPr>
        <w:numPr>
          <w:ilvl w:val="3"/>
          <w:numId w:val="40"/>
        </w:numPr>
        <w:tabs>
          <w:tab w:val="clear" w:pos="2880"/>
          <w:tab w:val="num" w:pos="720"/>
        </w:tabs>
        <w:autoSpaceDE w:val="0"/>
        <w:autoSpaceDN w:val="0"/>
        <w:adjustRightInd w:val="0"/>
        <w:ind w:hanging="2520"/>
        <w:jc w:val="both"/>
        <w:rPr>
          <w:color w:val="000000"/>
        </w:rPr>
      </w:pPr>
      <w:r w:rsidRPr="000F70A0">
        <w:rPr>
          <w:color w:val="000000"/>
        </w:rPr>
        <w:t>Consiglio di Amministrazione:</w:t>
      </w:r>
    </w:p>
    <w:p w:rsidR="007A5ECC" w:rsidRPr="000F70A0" w:rsidRDefault="007A5ECC" w:rsidP="00503AD7">
      <w:pPr>
        <w:numPr>
          <w:ilvl w:val="4"/>
          <w:numId w:val="40"/>
        </w:numPr>
        <w:tabs>
          <w:tab w:val="clear" w:pos="1440"/>
        </w:tabs>
        <w:autoSpaceDE w:val="0"/>
        <w:autoSpaceDN w:val="0"/>
        <w:adjustRightInd w:val="0"/>
        <w:ind w:left="1080"/>
        <w:jc w:val="both"/>
        <w:rPr>
          <w:color w:val="000000"/>
        </w:rPr>
      </w:pPr>
      <w:proofErr w:type="gramStart"/>
      <w:r w:rsidRPr="000F70A0">
        <w:rPr>
          <w:color w:val="000000"/>
        </w:rPr>
        <w:lastRenderedPageBreak/>
        <w:t>approvare</w:t>
      </w:r>
      <w:proofErr w:type="gramEnd"/>
      <w:r w:rsidRPr="000F70A0">
        <w:rPr>
          <w:color w:val="000000"/>
        </w:rPr>
        <w:t xml:space="preserve"> i documenti contabili, patrimoniali e finanziari, annuali e pluriennali, previsti dalle norme vigenti;</w:t>
      </w:r>
    </w:p>
    <w:p w:rsidR="007A5ECC" w:rsidRPr="000F70A0" w:rsidRDefault="007A5ECC" w:rsidP="00503AD7">
      <w:pPr>
        <w:numPr>
          <w:ilvl w:val="4"/>
          <w:numId w:val="40"/>
        </w:numPr>
        <w:tabs>
          <w:tab w:val="clear" w:pos="1440"/>
        </w:tabs>
        <w:autoSpaceDE w:val="0"/>
        <w:autoSpaceDN w:val="0"/>
        <w:adjustRightInd w:val="0"/>
        <w:ind w:left="1080"/>
        <w:jc w:val="both"/>
        <w:rPr>
          <w:color w:val="000000"/>
        </w:rPr>
      </w:pPr>
      <w:proofErr w:type="gramStart"/>
      <w:r w:rsidRPr="000F70A0">
        <w:rPr>
          <w:color w:val="000000"/>
        </w:rPr>
        <w:t>provvedere</w:t>
      </w:r>
      <w:proofErr w:type="gramEnd"/>
      <w:r w:rsidRPr="000F70A0">
        <w:rPr>
          <w:color w:val="000000"/>
        </w:rPr>
        <w:t xml:space="preserve"> alla trasmissione dei documenti di cui al precedente punto i) ai Ministeri competenti, nel rispetto delle norme vigenti;</w:t>
      </w:r>
    </w:p>
    <w:p w:rsidR="007A5ECC" w:rsidRPr="000F70A0" w:rsidRDefault="007A5ECC" w:rsidP="00503AD7">
      <w:pPr>
        <w:numPr>
          <w:ilvl w:val="4"/>
          <w:numId w:val="40"/>
        </w:numPr>
        <w:tabs>
          <w:tab w:val="clear" w:pos="1440"/>
        </w:tabs>
        <w:autoSpaceDE w:val="0"/>
        <w:autoSpaceDN w:val="0"/>
        <w:adjustRightInd w:val="0"/>
        <w:ind w:left="1080"/>
        <w:jc w:val="both"/>
        <w:rPr>
          <w:color w:val="000000"/>
        </w:rPr>
      </w:pPr>
      <w:proofErr w:type="gramStart"/>
      <w:r w:rsidRPr="000F70A0">
        <w:rPr>
          <w:color w:val="000000"/>
        </w:rPr>
        <w:t>vigilare</w:t>
      </w:r>
      <w:proofErr w:type="gramEnd"/>
      <w:r w:rsidRPr="000F70A0">
        <w:rPr>
          <w:color w:val="000000"/>
        </w:rPr>
        <w:t xml:space="preserve"> sulla consistenza e sulla funzionalità del patrimonio mobiliare e immobiliare del Politecnico;</w:t>
      </w:r>
    </w:p>
    <w:p w:rsidR="007A5ECC" w:rsidRPr="000F70A0" w:rsidRDefault="007A5ECC" w:rsidP="00503AD7">
      <w:pPr>
        <w:numPr>
          <w:ilvl w:val="4"/>
          <w:numId w:val="40"/>
        </w:numPr>
        <w:tabs>
          <w:tab w:val="clear" w:pos="1440"/>
          <w:tab w:val="num" w:pos="1080"/>
        </w:tabs>
        <w:autoSpaceDE w:val="0"/>
        <w:autoSpaceDN w:val="0"/>
        <w:adjustRightInd w:val="0"/>
        <w:ind w:left="1080"/>
        <w:jc w:val="both"/>
        <w:rPr>
          <w:color w:val="000000"/>
        </w:rPr>
      </w:pPr>
      <w:proofErr w:type="gramStart"/>
      <w:r w:rsidRPr="000F70A0">
        <w:rPr>
          <w:color w:val="000000"/>
        </w:rPr>
        <w:t>deliberare</w:t>
      </w:r>
      <w:proofErr w:type="gramEnd"/>
      <w:r w:rsidRPr="000F70A0">
        <w:rPr>
          <w:color w:val="000000"/>
        </w:rPr>
        <w:t xml:space="preserve"> i contratti, le convenzioni e ogni altro atto negoziale che comporti impegno di spesa, fatti salvi i poteri espressamente riservati ad altri organi e ai </w:t>
      </w:r>
      <w:r>
        <w:rPr>
          <w:color w:val="000000"/>
        </w:rPr>
        <w:t xml:space="preserve">Dipartimenti e agli altri </w:t>
      </w:r>
      <w:r w:rsidRPr="000F70A0">
        <w:rPr>
          <w:color w:val="000000"/>
        </w:rPr>
        <w:t xml:space="preserve">Centri </w:t>
      </w:r>
      <w:r>
        <w:rPr>
          <w:color w:val="000000"/>
        </w:rPr>
        <w:t xml:space="preserve">autonomi </w:t>
      </w:r>
      <w:r w:rsidRPr="000F70A0">
        <w:rPr>
          <w:color w:val="000000"/>
        </w:rPr>
        <w:t>di Gestione;</w:t>
      </w:r>
    </w:p>
    <w:p w:rsidR="007A5ECC" w:rsidRPr="000F70A0" w:rsidRDefault="007A5ECC" w:rsidP="00503AD7">
      <w:pPr>
        <w:numPr>
          <w:ilvl w:val="7"/>
          <w:numId w:val="40"/>
        </w:numPr>
        <w:tabs>
          <w:tab w:val="clear" w:pos="1440"/>
        </w:tabs>
        <w:autoSpaceDE w:val="0"/>
        <w:autoSpaceDN w:val="0"/>
        <w:adjustRightInd w:val="0"/>
        <w:ind w:hanging="1080"/>
        <w:jc w:val="both"/>
        <w:rPr>
          <w:color w:val="000000"/>
        </w:rPr>
      </w:pPr>
      <w:r w:rsidRPr="000F70A0">
        <w:rPr>
          <w:bCs/>
          <w:iCs/>
          <w:color w:val="000000"/>
        </w:rPr>
        <w:t>Direttore Generale:</w:t>
      </w:r>
    </w:p>
    <w:p w:rsidR="007A5ECC" w:rsidRPr="000F70A0" w:rsidRDefault="007A5ECC" w:rsidP="00503AD7">
      <w:pPr>
        <w:numPr>
          <w:ilvl w:val="8"/>
          <w:numId w:val="40"/>
        </w:numPr>
        <w:tabs>
          <w:tab w:val="clear" w:pos="6480"/>
        </w:tabs>
        <w:autoSpaceDE w:val="0"/>
        <w:autoSpaceDN w:val="0"/>
        <w:adjustRightInd w:val="0"/>
        <w:ind w:left="1080" w:hanging="360"/>
        <w:jc w:val="both"/>
        <w:rPr>
          <w:color w:val="000000"/>
        </w:rPr>
      </w:pPr>
      <w:proofErr w:type="gramStart"/>
      <w:r w:rsidRPr="000F70A0">
        <w:rPr>
          <w:color w:val="000000"/>
        </w:rPr>
        <w:t>curare</w:t>
      </w:r>
      <w:proofErr w:type="gramEnd"/>
      <w:r w:rsidRPr="000F70A0">
        <w:rPr>
          <w:color w:val="000000"/>
        </w:rPr>
        <w:t xml:space="preserve"> l’attuazione degli indirizzi e dei programmi definiti dagli organi di governo, anche sulla base di specifici progetti, e compiere gli atti di gestione necessari;</w:t>
      </w:r>
    </w:p>
    <w:p w:rsidR="007A5ECC" w:rsidRPr="000F70A0" w:rsidRDefault="007A5ECC" w:rsidP="00503AD7">
      <w:pPr>
        <w:numPr>
          <w:ilvl w:val="8"/>
          <w:numId w:val="40"/>
        </w:numPr>
        <w:tabs>
          <w:tab w:val="clear" w:pos="6480"/>
        </w:tabs>
        <w:autoSpaceDE w:val="0"/>
        <w:autoSpaceDN w:val="0"/>
        <w:adjustRightInd w:val="0"/>
        <w:ind w:left="1080" w:hanging="360"/>
        <w:jc w:val="both"/>
        <w:rPr>
          <w:color w:val="000000"/>
        </w:rPr>
      </w:pPr>
      <w:proofErr w:type="gramStart"/>
      <w:r w:rsidRPr="000F70A0">
        <w:rPr>
          <w:color w:val="000000"/>
        </w:rPr>
        <w:t>predisporre</w:t>
      </w:r>
      <w:proofErr w:type="gramEnd"/>
      <w:r w:rsidRPr="000F70A0">
        <w:rPr>
          <w:color w:val="000000"/>
        </w:rPr>
        <w:t xml:space="preserve"> i documenti contabili, patrimoniali e finanziari, annuali e pluriennali, previsti dalle norme vigenti e le relative relazioni tecniche, sulla base della programmazione finanziaria e di riparto delle risorse, anche pluriennale;</w:t>
      </w:r>
    </w:p>
    <w:p w:rsidR="007A5ECC" w:rsidRPr="000F70A0" w:rsidRDefault="007A5ECC" w:rsidP="00503AD7">
      <w:pPr>
        <w:numPr>
          <w:ilvl w:val="8"/>
          <w:numId w:val="40"/>
        </w:numPr>
        <w:tabs>
          <w:tab w:val="clear" w:pos="6480"/>
        </w:tabs>
        <w:autoSpaceDE w:val="0"/>
        <w:autoSpaceDN w:val="0"/>
        <w:adjustRightInd w:val="0"/>
        <w:ind w:left="1080" w:hanging="360"/>
        <w:jc w:val="both"/>
        <w:rPr>
          <w:color w:val="000000"/>
        </w:rPr>
      </w:pPr>
      <w:proofErr w:type="gramStart"/>
      <w:r w:rsidRPr="000F70A0">
        <w:rPr>
          <w:color w:val="000000"/>
        </w:rPr>
        <w:t>adottare</w:t>
      </w:r>
      <w:proofErr w:type="gramEnd"/>
      <w:r w:rsidRPr="000F70A0">
        <w:rPr>
          <w:color w:val="000000"/>
        </w:rPr>
        <w:t xml:space="preserve"> i provvedimenti amministrativi ed esercitare i poteri di spesa e quelli di acquisizione delle entrate;</w:t>
      </w:r>
    </w:p>
    <w:p w:rsidR="007A5ECC" w:rsidRPr="000F70A0" w:rsidRDefault="007A5ECC" w:rsidP="00503AD7">
      <w:pPr>
        <w:numPr>
          <w:ilvl w:val="8"/>
          <w:numId w:val="40"/>
        </w:numPr>
        <w:tabs>
          <w:tab w:val="clear" w:pos="6480"/>
        </w:tabs>
        <w:autoSpaceDE w:val="0"/>
        <w:autoSpaceDN w:val="0"/>
        <w:adjustRightInd w:val="0"/>
        <w:ind w:left="1080" w:hanging="360"/>
        <w:jc w:val="both"/>
        <w:rPr>
          <w:b/>
          <w:bCs/>
          <w:color w:val="000000"/>
        </w:rPr>
      </w:pPr>
      <w:proofErr w:type="gramStart"/>
      <w:r w:rsidRPr="000F70A0">
        <w:rPr>
          <w:color w:val="000000"/>
        </w:rPr>
        <w:t>monitorare</w:t>
      </w:r>
      <w:proofErr w:type="gramEnd"/>
      <w:r w:rsidRPr="000F70A0">
        <w:rPr>
          <w:color w:val="000000"/>
        </w:rPr>
        <w:t xml:space="preserve"> di concerto con il Rettore l’andamento complessivo della gestione economica, finanziaria e patrimoniale;</w:t>
      </w:r>
    </w:p>
    <w:p w:rsidR="007A5ECC" w:rsidRPr="000F70A0" w:rsidRDefault="007A5ECC" w:rsidP="00503AD7">
      <w:pPr>
        <w:numPr>
          <w:ilvl w:val="8"/>
          <w:numId w:val="40"/>
        </w:numPr>
        <w:tabs>
          <w:tab w:val="clear" w:pos="6480"/>
          <w:tab w:val="num" w:pos="1080"/>
        </w:tabs>
        <w:autoSpaceDE w:val="0"/>
        <w:autoSpaceDN w:val="0"/>
        <w:adjustRightInd w:val="0"/>
        <w:ind w:left="1080" w:hanging="360"/>
        <w:jc w:val="both"/>
        <w:rPr>
          <w:b/>
          <w:bCs/>
          <w:color w:val="000000"/>
        </w:rPr>
      </w:pPr>
      <w:proofErr w:type="gramStart"/>
      <w:r w:rsidRPr="000F70A0">
        <w:rPr>
          <w:color w:val="000000"/>
        </w:rPr>
        <w:t>predisporre</w:t>
      </w:r>
      <w:proofErr w:type="gramEnd"/>
      <w:r w:rsidRPr="000F70A0">
        <w:rPr>
          <w:color w:val="000000"/>
        </w:rPr>
        <w:t xml:space="preserve"> e proporre al Consiglio di Amministrazione, per la conseguente approvazione, il Manuale di Contabilità e il Manuale di Controllo di Gestione. </w:t>
      </w:r>
    </w:p>
    <w:p w:rsidR="007A5ECC" w:rsidRDefault="007A5ECC" w:rsidP="00503AD7">
      <w:pPr>
        <w:autoSpaceDE w:val="0"/>
        <w:autoSpaceDN w:val="0"/>
        <w:adjustRightInd w:val="0"/>
        <w:jc w:val="center"/>
        <w:rPr>
          <w:bCs/>
          <w:color w:val="000000"/>
        </w:rPr>
      </w:pPr>
    </w:p>
    <w:p w:rsidR="007A5ECC" w:rsidRDefault="007A5ECC" w:rsidP="00503AD7">
      <w:pPr>
        <w:autoSpaceDE w:val="0"/>
        <w:autoSpaceDN w:val="0"/>
        <w:adjustRightInd w:val="0"/>
        <w:jc w:val="center"/>
        <w:rPr>
          <w:bCs/>
          <w:color w:val="000000"/>
        </w:rPr>
      </w:pPr>
    </w:p>
    <w:p w:rsidR="007A5ECC" w:rsidRPr="00503AD7" w:rsidRDefault="007A5ECC" w:rsidP="00503AD7">
      <w:pPr>
        <w:autoSpaceDE w:val="0"/>
        <w:autoSpaceDN w:val="0"/>
        <w:adjustRightInd w:val="0"/>
        <w:jc w:val="center"/>
        <w:rPr>
          <w:b/>
          <w:bCs/>
          <w:color w:val="000000"/>
        </w:rPr>
      </w:pPr>
      <w:r w:rsidRPr="00503AD7">
        <w:rPr>
          <w:b/>
          <w:bCs/>
          <w:color w:val="000000"/>
        </w:rPr>
        <w:t>Sezione II – PROCESSI CONTABILI</w:t>
      </w:r>
    </w:p>
    <w:p w:rsidR="007A5ECC" w:rsidRDefault="007A5ECC" w:rsidP="00503AD7">
      <w:pPr>
        <w:autoSpaceDE w:val="0"/>
        <w:autoSpaceDN w:val="0"/>
        <w:adjustRightInd w:val="0"/>
        <w:jc w:val="center"/>
        <w:rPr>
          <w:b/>
          <w:bCs/>
          <w:i/>
          <w:color w:val="000000"/>
        </w:rPr>
      </w:pPr>
      <w:r w:rsidRPr="00503AD7">
        <w:rPr>
          <w:b/>
          <w:bCs/>
          <w:i/>
          <w:iCs/>
          <w:color w:val="000000"/>
        </w:rPr>
        <w:t xml:space="preserve">Paragrafo I </w:t>
      </w:r>
      <w:r w:rsidRPr="00503AD7">
        <w:rPr>
          <w:b/>
          <w:bCs/>
          <w:color w:val="000000"/>
        </w:rPr>
        <w:t xml:space="preserve">– </w:t>
      </w:r>
      <w:r w:rsidRPr="00503AD7">
        <w:rPr>
          <w:b/>
          <w:bCs/>
          <w:i/>
          <w:color w:val="000000"/>
        </w:rPr>
        <w:t>Previsione</w:t>
      </w:r>
    </w:p>
    <w:p w:rsidR="007A5ECC" w:rsidRPr="00503AD7" w:rsidRDefault="007A5ECC" w:rsidP="00503AD7">
      <w:pPr>
        <w:autoSpaceDE w:val="0"/>
        <w:autoSpaceDN w:val="0"/>
        <w:adjustRightInd w:val="0"/>
        <w:jc w:val="center"/>
        <w:rPr>
          <w:b/>
          <w:bCs/>
          <w:color w:val="000000"/>
        </w:rPr>
      </w:pPr>
    </w:p>
    <w:p w:rsidR="007A5ECC" w:rsidRDefault="007A5ECC" w:rsidP="00503AD7">
      <w:pPr>
        <w:jc w:val="both"/>
        <w:rPr>
          <w:b/>
          <w:color w:val="000000"/>
        </w:rPr>
      </w:pPr>
      <w:r w:rsidRPr="000F70A0">
        <w:rPr>
          <w:b/>
          <w:color w:val="000000"/>
        </w:rPr>
        <w:t>Art. 19 – Oggetto, finalità e principi del processo di previsione</w:t>
      </w:r>
    </w:p>
    <w:p w:rsidR="007A5ECC" w:rsidRPr="000F70A0" w:rsidRDefault="007A5ECC" w:rsidP="00503AD7">
      <w:pPr>
        <w:jc w:val="both"/>
        <w:rPr>
          <w:b/>
          <w:color w:val="000000"/>
        </w:rPr>
      </w:pPr>
    </w:p>
    <w:p w:rsidR="007A5ECC" w:rsidRPr="000F70A0" w:rsidRDefault="007A5ECC" w:rsidP="00503AD7">
      <w:pPr>
        <w:numPr>
          <w:ilvl w:val="0"/>
          <w:numId w:val="16"/>
        </w:numPr>
        <w:tabs>
          <w:tab w:val="clear" w:pos="1440"/>
          <w:tab w:val="num" w:pos="360"/>
        </w:tabs>
        <w:autoSpaceDE w:val="0"/>
        <w:autoSpaceDN w:val="0"/>
        <w:adjustRightInd w:val="0"/>
        <w:ind w:left="360"/>
        <w:jc w:val="both"/>
        <w:rPr>
          <w:color w:val="000000"/>
        </w:rPr>
      </w:pPr>
      <w:r w:rsidRPr="000F70A0">
        <w:rPr>
          <w:color w:val="000000"/>
        </w:rPr>
        <w:t>Il processo di previsione è finalizzato a definire gli obiettivi e i programmi operativi dell’Ateneo su base annuale e pluriennale. Esso deve garantire la sostenibilità di tutte le attività dell’Ateneo, per quanto riguarda gli aspetti contabili, nei documenti e atti di previsione di cui al Titolo II, Capo II, del presente Regolamento, nonché degli altri atti di previsione, reportistica e consuntivazione del medesimo.</w:t>
      </w:r>
    </w:p>
    <w:p w:rsidR="007A5ECC" w:rsidRPr="000F70A0" w:rsidRDefault="007A5ECC" w:rsidP="00503AD7">
      <w:pPr>
        <w:numPr>
          <w:ilvl w:val="0"/>
          <w:numId w:val="16"/>
        </w:numPr>
        <w:tabs>
          <w:tab w:val="clear" w:pos="1440"/>
          <w:tab w:val="num" w:pos="360"/>
        </w:tabs>
        <w:autoSpaceDE w:val="0"/>
        <w:autoSpaceDN w:val="0"/>
        <w:adjustRightInd w:val="0"/>
        <w:ind w:left="360"/>
        <w:jc w:val="both"/>
        <w:rPr>
          <w:color w:val="000000"/>
        </w:rPr>
      </w:pPr>
      <w:r w:rsidRPr="000F70A0">
        <w:rPr>
          <w:color w:val="000000"/>
        </w:rPr>
        <w:t>Il budget economico di ciascun esercizio, in conformità a quanto stabilito nel presente Regolamento, deve garantire:</w:t>
      </w:r>
    </w:p>
    <w:p w:rsidR="007A5ECC" w:rsidRPr="000F70A0" w:rsidRDefault="007A5ECC" w:rsidP="00503AD7">
      <w:pPr>
        <w:numPr>
          <w:ilvl w:val="1"/>
          <w:numId w:val="16"/>
        </w:numPr>
        <w:tabs>
          <w:tab w:val="clear" w:pos="1440"/>
          <w:tab w:val="num" w:pos="720"/>
        </w:tabs>
        <w:autoSpaceDE w:val="0"/>
        <w:autoSpaceDN w:val="0"/>
        <w:adjustRightInd w:val="0"/>
        <w:ind w:left="720"/>
        <w:jc w:val="both"/>
        <w:rPr>
          <w:color w:val="000000"/>
        </w:rPr>
      </w:pPr>
      <w:proofErr w:type="gramStart"/>
      <w:r w:rsidRPr="000F70A0">
        <w:rPr>
          <w:color w:val="000000"/>
        </w:rPr>
        <w:t>il</w:t>
      </w:r>
      <w:proofErr w:type="gramEnd"/>
      <w:r w:rsidRPr="000F70A0">
        <w:rPr>
          <w:color w:val="000000"/>
        </w:rPr>
        <w:t xml:space="preserve"> pareggio tra costi e proventi, ovvero un differenziale positivo a copertura dell’eventuale risultato negativo di esercizi precedenti, nonché il pareggio annuale tra le risorse investite nei progetti anche pluriennali e quelle messe a disposizione dall’Ateneo o da enti esterni;</w:t>
      </w:r>
    </w:p>
    <w:p w:rsidR="007A5ECC" w:rsidRPr="000F70A0" w:rsidRDefault="007A5ECC" w:rsidP="00503AD7">
      <w:pPr>
        <w:numPr>
          <w:ilvl w:val="1"/>
          <w:numId w:val="16"/>
        </w:numPr>
        <w:tabs>
          <w:tab w:val="clear" w:pos="1440"/>
          <w:tab w:val="num" w:pos="720"/>
        </w:tabs>
        <w:autoSpaceDE w:val="0"/>
        <w:autoSpaceDN w:val="0"/>
        <w:adjustRightInd w:val="0"/>
        <w:ind w:left="720"/>
        <w:jc w:val="both"/>
        <w:rPr>
          <w:color w:val="000000"/>
        </w:rPr>
      </w:pPr>
      <w:proofErr w:type="gramStart"/>
      <w:r w:rsidRPr="000F70A0">
        <w:rPr>
          <w:color w:val="000000"/>
        </w:rPr>
        <w:t>l’equilibrio</w:t>
      </w:r>
      <w:proofErr w:type="gramEnd"/>
      <w:r w:rsidRPr="000F70A0">
        <w:rPr>
          <w:color w:val="000000"/>
        </w:rPr>
        <w:t xml:space="preserve"> nel budget degli investimenti fra gli investimenti programmati e la relativa copertura finanziaria.</w:t>
      </w:r>
    </w:p>
    <w:p w:rsidR="007A5ECC" w:rsidRDefault="007A5ECC" w:rsidP="00503AD7">
      <w:pPr>
        <w:autoSpaceDE w:val="0"/>
        <w:autoSpaceDN w:val="0"/>
        <w:adjustRightInd w:val="0"/>
        <w:jc w:val="both"/>
        <w:rPr>
          <w:b/>
          <w:bCs/>
          <w:color w:val="000000"/>
        </w:rPr>
      </w:pPr>
    </w:p>
    <w:p w:rsidR="007A5ECC" w:rsidRDefault="007A5ECC" w:rsidP="00503AD7">
      <w:pPr>
        <w:autoSpaceDE w:val="0"/>
        <w:autoSpaceDN w:val="0"/>
        <w:adjustRightInd w:val="0"/>
        <w:jc w:val="both"/>
        <w:rPr>
          <w:b/>
          <w:bCs/>
          <w:color w:val="000000"/>
        </w:rPr>
      </w:pPr>
      <w:r w:rsidRPr="000F70A0">
        <w:rPr>
          <w:b/>
          <w:bCs/>
          <w:color w:val="000000"/>
        </w:rPr>
        <w:t>Art. 20 – Previsione e piano di sviluppo annuale e triennale di Ateneo</w:t>
      </w:r>
    </w:p>
    <w:p w:rsidR="007A5ECC" w:rsidRPr="000F70A0" w:rsidRDefault="007A5ECC" w:rsidP="00503AD7">
      <w:pPr>
        <w:autoSpaceDE w:val="0"/>
        <w:autoSpaceDN w:val="0"/>
        <w:adjustRightInd w:val="0"/>
        <w:jc w:val="both"/>
        <w:rPr>
          <w:b/>
          <w:bCs/>
          <w:color w:val="000000"/>
        </w:rPr>
      </w:pPr>
    </w:p>
    <w:p w:rsidR="007A5ECC" w:rsidRPr="000F70A0" w:rsidRDefault="007A5ECC" w:rsidP="00503AD7">
      <w:pPr>
        <w:numPr>
          <w:ilvl w:val="2"/>
          <w:numId w:val="16"/>
        </w:numPr>
        <w:tabs>
          <w:tab w:val="clear" w:pos="2340"/>
          <w:tab w:val="num" w:pos="360"/>
          <w:tab w:val="left" w:pos="540"/>
        </w:tabs>
        <w:autoSpaceDE w:val="0"/>
        <w:autoSpaceDN w:val="0"/>
        <w:adjustRightInd w:val="0"/>
        <w:ind w:left="360"/>
        <w:jc w:val="both"/>
        <w:rPr>
          <w:color w:val="000000"/>
        </w:rPr>
      </w:pPr>
      <w:r w:rsidRPr="000F70A0">
        <w:rPr>
          <w:color w:val="000000"/>
        </w:rPr>
        <w:t>La previsione annuale si inserisce in un piano di durata almeno triennale.</w:t>
      </w:r>
    </w:p>
    <w:p w:rsidR="007A5ECC" w:rsidRDefault="007A5ECC" w:rsidP="00503AD7">
      <w:pPr>
        <w:numPr>
          <w:ilvl w:val="2"/>
          <w:numId w:val="16"/>
        </w:numPr>
        <w:tabs>
          <w:tab w:val="clear" w:pos="2340"/>
          <w:tab w:val="num" w:pos="360"/>
          <w:tab w:val="left" w:pos="540"/>
        </w:tabs>
        <w:autoSpaceDE w:val="0"/>
        <w:autoSpaceDN w:val="0"/>
        <w:adjustRightInd w:val="0"/>
        <w:ind w:left="360"/>
        <w:jc w:val="both"/>
        <w:rPr>
          <w:color w:val="000000"/>
        </w:rPr>
      </w:pPr>
      <w:r w:rsidRPr="000F70A0">
        <w:rPr>
          <w:color w:val="000000"/>
        </w:rPr>
        <w:t>Il piano triennale viene predisposto dal Rettore con il supporto del Direttore Generale e approvato dal Consiglio di Amministrazione, previo parere obbligatorio del Senato Accademico.</w:t>
      </w:r>
    </w:p>
    <w:p w:rsidR="007A5ECC" w:rsidRDefault="007A5ECC" w:rsidP="00503AD7">
      <w:pPr>
        <w:tabs>
          <w:tab w:val="left" w:pos="540"/>
        </w:tabs>
        <w:autoSpaceDE w:val="0"/>
        <w:autoSpaceDN w:val="0"/>
        <w:adjustRightInd w:val="0"/>
        <w:jc w:val="both"/>
        <w:rPr>
          <w:color w:val="000000"/>
        </w:rPr>
      </w:pPr>
    </w:p>
    <w:p w:rsidR="00BF6BC5" w:rsidRPr="000F70A0" w:rsidRDefault="00BF6BC5" w:rsidP="00503AD7">
      <w:pPr>
        <w:tabs>
          <w:tab w:val="left" w:pos="540"/>
        </w:tabs>
        <w:autoSpaceDE w:val="0"/>
        <w:autoSpaceDN w:val="0"/>
        <w:adjustRightInd w:val="0"/>
        <w:jc w:val="both"/>
        <w:rPr>
          <w:color w:val="000000"/>
        </w:rPr>
      </w:pPr>
    </w:p>
    <w:p w:rsidR="007A5ECC" w:rsidRDefault="007A5ECC" w:rsidP="00503AD7">
      <w:pPr>
        <w:autoSpaceDE w:val="0"/>
        <w:autoSpaceDN w:val="0"/>
        <w:adjustRightInd w:val="0"/>
        <w:jc w:val="both"/>
        <w:rPr>
          <w:b/>
          <w:color w:val="000000"/>
        </w:rPr>
      </w:pPr>
      <w:r w:rsidRPr="000F70A0">
        <w:rPr>
          <w:b/>
          <w:bCs/>
          <w:color w:val="000000"/>
        </w:rPr>
        <w:lastRenderedPageBreak/>
        <w:t>Art. 21 – C</w:t>
      </w:r>
      <w:r w:rsidRPr="000F70A0">
        <w:rPr>
          <w:b/>
          <w:color w:val="000000"/>
        </w:rPr>
        <w:t xml:space="preserve">alendario attività per la formazione del Bilancio Unico di Ateneo </w:t>
      </w:r>
    </w:p>
    <w:p w:rsidR="007A5ECC" w:rsidRPr="000F70A0" w:rsidRDefault="007A5ECC" w:rsidP="00503AD7">
      <w:pPr>
        <w:autoSpaceDE w:val="0"/>
        <w:autoSpaceDN w:val="0"/>
        <w:adjustRightInd w:val="0"/>
        <w:jc w:val="both"/>
        <w:rPr>
          <w:b/>
          <w:bCs/>
          <w:color w:val="000000"/>
        </w:rPr>
      </w:pPr>
    </w:p>
    <w:p w:rsidR="007A5ECC" w:rsidRDefault="007A5ECC" w:rsidP="00503AD7">
      <w:pPr>
        <w:numPr>
          <w:ilvl w:val="0"/>
          <w:numId w:val="35"/>
        </w:numPr>
        <w:tabs>
          <w:tab w:val="clear" w:pos="1440"/>
        </w:tabs>
        <w:autoSpaceDE w:val="0"/>
        <w:autoSpaceDN w:val="0"/>
        <w:adjustRightInd w:val="0"/>
        <w:ind w:left="426" w:hanging="426"/>
        <w:jc w:val="both"/>
        <w:rPr>
          <w:color w:val="000000"/>
        </w:rPr>
      </w:pPr>
      <w:r w:rsidRPr="000F70A0">
        <w:rPr>
          <w:color w:val="000000"/>
        </w:rPr>
        <w:t>Entro il 15 settembre di ogni anno, il Direttore Generale, di concerto con il Rettore, definisce il calendario delle attività per la formazione del Bilancio Unico di Ateneo di previsione annuale e triennale nel rispetto dei termini stabiliti dalla legge, dallo Statuto e dal presente Regolamento.</w:t>
      </w:r>
    </w:p>
    <w:p w:rsidR="007A5ECC" w:rsidRPr="000F70A0" w:rsidRDefault="007A5ECC" w:rsidP="00503AD7">
      <w:pPr>
        <w:autoSpaceDE w:val="0"/>
        <w:autoSpaceDN w:val="0"/>
        <w:adjustRightInd w:val="0"/>
        <w:jc w:val="both"/>
        <w:rPr>
          <w:color w:val="000000"/>
        </w:rPr>
      </w:pPr>
    </w:p>
    <w:p w:rsidR="007A5ECC" w:rsidRDefault="007A5ECC" w:rsidP="00503AD7">
      <w:pPr>
        <w:autoSpaceDE w:val="0"/>
        <w:autoSpaceDN w:val="0"/>
        <w:adjustRightInd w:val="0"/>
        <w:jc w:val="both"/>
        <w:rPr>
          <w:b/>
          <w:bCs/>
          <w:color w:val="000000"/>
        </w:rPr>
      </w:pPr>
      <w:r w:rsidRPr="000F70A0">
        <w:rPr>
          <w:b/>
          <w:bCs/>
          <w:color w:val="000000"/>
        </w:rPr>
        <w:t xml:space="preserve">Art. 22 – Predisposizione del Budget economico annuale </w:t>
      </w:r>
      <w:proofErr w:type="spellStart"/>
      <w:r w:rsidRPr="000F70A0">
        <w:rPr>
          <w:b/>
          <w:bCs/>
          <w:color w:val="000000"/>
        </w:rPr>
        <w:t>autorizzatorio</w:t>
      </w:r>
      <w:proofErr w:type="spellEnd"/>
      <w:r w:rsidRPr="000F70A0">
        <w:rPr>
          <w:b/>
          <w:bCs/>
          <w:color w:val="000000"/>
        </w:rPr>
        <w:t xml:space="preserve"> unico di Ateneo</w:t>
      </w:r>
    </w:p>
    <w:p w:rsidR="007A5ECC" w:rsidRPr="000F70A0" w:rsidRDefault="007A5ECC" w:rsidP="00503AD7">
      <w:pPr>
        <w:autoSpaceDE w:val="0"/>
        <w:autoSpaceDN w:val="0"/>
        <w:adjustRightInd w:val="0"/>
        <w:jc w:val="both"/>
        <w:rPr>
          <w:b/>
          <w:bCs/>
          <w:color w:val="000000"/>
        </w:rPr>
      </w:pPr>
    </w:p>
    <w:p w:rsidR="007A5ECC" w:rsidRPr="000F70A0" w:rsidRDefault="007A5ECC" w:rsidP="00503AD7">
      <w:pPr>
        <w:numPr>
          <w:ilvl w:val="0"/>
          <w:numId w:val="17"/>
        </w:numPr>
        <w:tabs>
          <w:tab w:val="clear" w:pos="1440"/>
          <w:tab w:val="num" w:pos="360"/>
        </w:tabs>
        <w:autoSpaceDE w:val="0"/>
        <w:autoSpaceDN w:val="0"/>
        <w:adjustRightInd w:val="0"/>
        <w:ind w:left="360"/>
        <w:jc w:val="both"/>
        <w:rPr>
          <w:color w:val="000000"/>
        </w:rPr>
      </w:pPr>
      <w:r w:rsidRPr="000F70A0">
        <w:rPr>
          <w:color w:val="000000"/>
        </w:rPr>
        <w:t>Ogni Centro di gestione, per quanto di propria competenza, predispone una proposta di budget.</w:t>
      </w:r>
    </w:p>
    <w:p w:rsidR="007A5ECC" w:rsidRPr="000F70A0" w:rsidRDefault="007A5ECC" w:rsidP="00503AD7">
      <w:pPr>
        <w:numPr>
          <w:ilvl w:val="0"/>
          <w:numId w:val="18"/>
        </w:numPr>
        <w:tabs>
          <w:tab w:val="clear" w:pos="1440"/>
          <w:tab w:val="num" w:pos="360"/>
        </w:tabs>
        <w:autoSpaceDE w:val="0"/>
        <w:autoSpaceDN w:val="0"/>
        <w:adjustRightInd w:val="0"/>
        <w:ind w:left="360"/>
        <w:jc w:val="both"/>
        <w:rPr>
          <w:color w:val="000000"/>
        </w:rPr>
      </w:pPr>
      <w:r w:rsidRPr="000F70A0">
        <w:rPr>
          <w:color w:val="000000"/>
        </w:rPr>
        <w:t>Per la parte delle risorse disponibili nell’esercizio, il budget deve tener conto dell’assegnazione di Ateneo, dei proventi derivanti dalle attività e prestazioni derivanti dalle attività economiche (conto terzi ed altro) e da attribuzioni dirette da parte di soggetti esterni all’Ateneo.</w:t>
      </w:r>
    </w:p>
    <w:p w:rsidR="007A5ECC" w:rsidRPr="000F70A0" w:rsidRDefault="007A5ECC" w:rsidP="00503AD7">
      <w:pPr>
        <w:numPr>
          <w:ilvl w:val="0"/>
          <w:numId w:val="18"/>
        </w:numPr>
        <w:tabs>
          <w:tab w:val="clear" w:pos="1440"/>
          <w:tab w:val="num" w:pos="360"/>
        </w:tabs>
        <w:autoSpaceDE w:val="0"/>
        <w:autoSpaceDN w:val="0"/>
        <w:adjustRightInd w:val="0"/>
        <w:ind w:left="360"/>
        <w:jc w:val="both"/>
        <w:rPr>
          <w:color w:val="000000"/>
        </w:rPr>
      </w:pPr>
      <w:r w:rsidRPr="000F70A0">
        <w:rPr>
          <w:color w:val="000000"/>
        </w:rPr>
        <w:t xml:space="preserve">La proposta di budget di ciascun Centro di gestione di cui al precedente comma 1 e dell’Amministrazione Centrale è sottoposta all’esame del Direttore Generale e del Rettore che, avvalendosi della struttura responsabile del processo contabile, procedono alla predisposizione del Bilancio Unico di Ateneo di previsione </w:t>
      </w:r>
      <w:proofErr w:type="spellStart"/>
      <w:r w:rsidRPr="000F70A0">
        <w:rPr>
          <w:color w:val="000000"/>
        </w:rPr>
        <w:t>autorizzatorio</w:t>
      </w:r>
      <w:proofErr w:type="spellEnd"/>
      <w:r w:rsidRPr="000F70A0">
        <w:rPr>
          <w:color w:val="000000"/>
        </w:rPr>
        <w:t>.</w:t>
      </w:r>
    </w:p>
    <w:p w:rsidR="007A5ECC" w:rsidRDefault="007A5ECC" w:rsidP="00503AD7">
      <w:pPr>
        <w:autoSpaceDE w:val="0"/>
        <w:autoSpaceDN w:val="0"/>
        <w:adjustRightInd w:val="0"/>
        <w:jc w:val="both"/>
        <w:rPr>
          <w:b/>
          <w:bCs/>
          <w:color w:val="000000"/>
        </w:rPr>
      </w:pPr>
    </w:p>
    <w:p w:rsidR="007A5ECC" w:rsidRDefault="007A5ECC" w:rsidP="00503AD7">
      <w:pPr>
        <w:autoSpaceDE w:val="0"/>
        <w:autoSpaceDN w:val="0"/>
        <w:adjustRightInd w:val="0"/>
        <w:jc w:val="both"/>
        <w:rPr>
          <w:b/>
          <w:bCs/>
          <w:color w:val="000000"/>
        </w:rPr>
      </w:pPr>
      <w:r w:rsidRPr="000F70A0">
        <w:rPr>
          <w:b/>
          <w:bCs/>
          <w:color w:val="000000"/>
        </w:rPr>
        <w:t>Art. 23 – Predisposizione del Budget economico triennale Unico di Ateneo</w:t>
      </w:r>
    </w:p>
    <w:p w:rsidR="007A5ECC" w:rsidRPr="000F70A0" w:rsidRDefault="007A5ECC" w:rsidP="00503AD7">
      <w:pPr>
        <w:autoSpaceDE w:val="0"/>
        <w:autoSpaceDN w:val="0"/>
        <w:adjustRightInd w:val="0"/>
        <w:jc w:val="both"/>
        <w:rPr>
          <w:b/>
          <w:bCs/>
          <w:color w:val="000000"/>
        </w:rPr>
      </w:pPr>
    </w:p>
    <w:p w:rsidR="007A5ECC" w:rsidRPr="000F70A0" w:rsidRDefault="007A5ECC" w:rsidP="00503AD7">
      <w:pPr>
        <w:numPr>
          <w:ilvl w:val="0"/>
          <w:numId w:val="19"/>
        </w:numPr>
        <w:tabs>
          <w:tab w:val="clear" w:pos="1440"/>
          <w:tab w:val="num" w:pos="360"/>
        </w:tabs>
        <w:autoSpaceDE w:val="0"/>
        <w:autoSpaceDN w:val="0"/>
        <w:adjustRightInd w:val="0"/>
        <w:ind w:left="360"/>
        <w:jc w:val="both"/>
        <w:rPr>
          <w:color w:val="000000"/>
        </w:rPr>
      </w:pPr>
      <w:r w:rsidRPr="000F70A0">
        <w:rPr>
          <w:color w:val="000000"/>
        </w:rPr>
        <w:t>Ogni Centro di Gestione, per quanto di propria competenza, predispone, unitamente alla proposta di budget annuale, una proposta di budget triennale, così strutturata:</w:t>
      </w:r>
    </w:p>
    <w:p w:rsidR="007A5ECC" w:rsidRPr="000F70A0" w:rsidRDefault="007A5ECC" w:rsidP="00503AD7">
      <w:pPr>
        <w:numPr>
          <w:ilvl w:val="1"/>
          <w:numId w:val="19"/>
        </w:numPr>
        <w:tabs>
          <w:tab w:val="left" w:pos="720"/>
        </w:tabs>
        <w:autoSpaceDE w:val="0"/>
        <w:autoSpaceDN w:val="0"/>
        <w:adjustRightInd w:val="0"/>
        <w:ind w:hanging="1080"/>
        <w:jc w:val="both"/>
        <w:rPr>
          <w:color w:val="000000"/>
        </w:rPr>
      </w:pPr>
      <w:proofErr w:type="gramStart"/>
      <w:r w:rsidRPr="000F70A0">
        <w:rPr>
          <w:color w:val="000000"/>
        </w:rPr>
        <w:t>un</w:t>
      </w:r>
      <w:proofErr w:type="gramEnd"/>
      <w:r w:rsidRPr="000F70A0">
        <w:rPr>
          <w:color w:val="000000"/>
        </w:rPr>
        <w:t xml:space="preserve"> budget economico;</w:t>
      </w:r>
    </w:p>
    <w:p w:rsidR="007A5ECC" w:rsidRPr="000F70A0" w:rsidRDefault="007A5ECC" w:rsidP="00503AD7">
      <w:pPr>
        <w:numPr>
          <w:ilvl w:val="1"/>
          <w:numId w:val="19"/>
        </w:numPr>
        <w:tabs>
          <w:tab w:val="left" w:pos="720"/>
        </w:tabs>
        <w:autoSpaceDE w:val="0"/>
        <w:autoSpaceDN w:val="0"/>
        <w:adjustRightInd w:val="0"/>
        <w:ind w:hanging="1080"/>
        <w:jc w:val="both"/>
        <w:rPr>
          <w:color w:val="000000"/>
        </w:rPr>
      </w:pPr>
      <w:proofErr w:type="gramStart"/>
      <w:r w:rsidRPr="000F70A0">
        <w:rPr>
          <w:color w:val="000000"/>
        </w:rPr>
        <w:t>un</w:t>
      </w:r>
      <w:proofErr w:type="gramEnd"/>
      <w:r w:rsidRPr="000F70A0">
        <w:rPr>
          <w:color w:val="000000"/>
        </w:rPr>
        <w:t xml:space="preserve"> budget degli Investimenti;</w:t>
      </w:r>
    </w:p>
    <w:p w:rsidR="007A5ECC" w:rsidRDefault="007A5ECC" w:rsidP="00503AD7">
      <w:pPr>
        <w:numPr>
          <w:ilvl w:val="0"/>
          <w:numId w:val="19"/>
        </w:numPr>
        <w:tabs>
          <w:tab w:val="clear" w:pos="1440"/>
          <w:tab w:val="num" w:pos="360"/>
        </w:tabs>
        <w:autoSpaceDE w:val="0"/>
        <w:autoSpaceDN w:val="0"/>
        <w:adjustRightInd w:val="0"/>
        <w:ind w:left="360"/>
        <w:jc w:val="both"/>
        <w:rPr>
          <w:color w:val="000000"/>
        </w:rPr>
      </w:pPr>
      <w:r w:rsidRPr="000F70A0">
        <w:rPr>
          <w:color w:val="000000"/>
        </w:rPr>
        <w:t>Il Direttore Generale, di concerto con il Rettore, al termine del processo di definizione del budget, procede alla predisposizione del Bilancio Unico di Ateneo di previsione triennale, che verrà successivamente presentato all’approvazione del Consiglio di Amministrazione, sentito il Senato Accademico per gli aspetti di competenza.</w:t>
      </w:r>
    </w:p>
    <w:p w:rsidR="00A01248" w:rsidRPr="000F70A0" w:rsidRDefault="00A01248" w:rsidP="00A01248">
      <w:pPr>
        <w:autoSpaceDE w:val="0"/>
        <w:autoSpaceDN w:val="0"/>
        <w:adjustRightInd w:val="0"/>
        <w:ind w:left="360"/>
        <w:jc w:val="both"/>
        <w:rPr>
          <w:color w:val="000000"/>
        </w:rPr>
      </w:pPr>
    </w:p>
    <w:p w:rsidR="007A5ECC" w:rsidRDefault="007A5ECC" w:rsidP="00503AD7">
      <w:pPr>
        <w:autoSpaceDE w:val="0"/>
        <w:autoSpaceDN w:val="0"/>
        <w:adjustRightInd w:val="0"/>
        <w:jc w:val="both"/>
        <w:rPr>
          <w:b/>
          <w:bCs/>
          <w:color w:val="000000"/>
        </w:rPr>
      </w:pPr>
      <w:r w:rsidRPr="000F70A0">
        <w:rPr>
          <w:b/>
          <w:bCs/>
          <w:color w:val="000000"/>
        </w:rPr>
        <w:t>Art. 24 – Approvazione del Budget Unico di Previsione</w:t>
      </w:r>
    </w:p>
    <w:p w:rsidR="007A5ECC" w:rsidRPr="000F70A0" w:rsidRDefault="007A5ECC" w:rsidP="00503AD7">
      <w:pPr>
        <w:autoSpaceDE w:val="0"/>
        <w:autoSpaceDN w:val="0"/>
        <w:adjustRightInd w:val="0"/>
        <w:jc w:val="both"/>
        <w:rPr>
          <w:b/>
          <w:bCs/>
          <w:color w:val="000000"/>
        </w:rPr>
      </w:pPr>
    </w:p>
    <w:p w:rsidR="007A5ECC" w:rsidRPr="00A01248" w:rsidRDefault="007A5ECC" w:rsidP="00503AD7">
      <w:pPr>
        <w:pStyle w:val="Paragrafoelenco3"/>
        <w:numPr>
          <w:ilvl w:val="0"/>
          <w:numId w:val="41"/>
        </w:numPr>
        <w:autoSpaceDE w:val="0"/>
        <w:autoSpaceDN w:val="0"/>
        <w:adjustRightInd w:val="0"/>
        <w:spacing w:after="0" w:line="240" w:lineRule="auto"/>
        <w:ind w:left="360"/>
        <w:jc w:val="both"/>
        <w:rPr>
          <w:rFonts w:ascii="Times New Roman" w:hAnsi="Times New Roman"/>
          <w:bCs/>
          <w:iCs/>
          <w:color w:val="000000"/>
          <w:sz w:val="24"/>
          <w:szCs w:val="24"/>
        </w:rPr>
      </w:pPr>
      <w:r w:rsidRPr="00A01248">
        <w:rPr>
          <w:rFonts w:ascii="Times New Roman" w:hAnsi="Times New Roman"/>
          <w:bCs/>
          <w:iCs/>
          <w:color w:val="000000"/>
          <w:sz w:val="24"/>
          <w:szCs w:val="24"/>
        </w:rPr>
        <w:t>Ogni Centro di Gestione predispone la proposta di budget annuale sulla base degli schemi previsti dal Manuale di Contabilità entro il 30 novembre di ogni anno.</w:t>
      </w:r>
    </w:p>
    <w:p w:rsidR="007A5ECC" w:rsidRPr="000F70A0" w:rsidRDefault="007A5ECC" w:rsidP="00503AD7">
      <w:pPr>
        <w:numPr>
          <w:ilvl w:val="0"/>
          <w:numId w:val="41"/>
        </w:numPr>
        <w:autoSpaceDE w:val="0"/>
        <w:autoSpaceDN w:val="0"/>
        <w:adjustRightInd w:val="0"/>
        <w:ind w:left="360"/>
        <w:jc w:val="both"/>
        <w:rPr>
          <w:color w:val="000000"/>
        </w:rPr>
      </w:pPr>
      <w:r w:rsidRPr="000F70A0">
        <w:rPr>
          <w:color w:val="000000"/>
        </w:rPr>
        <w:t xml:space="preserve">Il Direttore Generale, al termine del processo di definizione del budget, procede alla predisposizione del Bilancio Unico di Ateneo di previsione annuale </w:t>
      </w:r>
      <w:proofErr w:type="spellStart"/>
      <w:r w:rsidRPr="000F70A0">
        <w:rPr>
          <w:color w:val="000000"/>
        </w:rPr>
        <w:t>autorizzatorio</w:t>
      </w:r>
      <w:proofErr w:type="spellEnd"/>
      <w:r w:rsidRPr="000F70A0">
        <w:rPr>
          <w:color w:val="000000"/>
        </w:rPr>
        <w:t>, che verrà successivamente presentato all’approvazione del Consiglio di Amministrazione, sentito il Senato Accademico per gli aspetti di competenza.</w:t>
      </w:r>
    </w:p>
    <w:p w:rsidR="007A5ECC" w:rsidRDefault="007A5ECC" w:rsidP="00503AD7">
      <w:pPr>
        <w:numPr>
          <w:ilvl w:val="0"/>
          <w:numId w:val="41"/>
        </w:numPr>
        <w:autoSpaceDE w:val="0"/>
        <w:autoSpaceDN w:val="0"/>
        <w:adjustRightInd w:val="0"/>
        <w:ind w:left="360"/>
        <w:jc w:val="both"/>
        <w:rPr>
          <w:color w:val="000000"/>
        </w:rPr>
      </w:pPr>
      <w:r w:rsidRPr="000F70A0">
        <w:rPr>
          <w:color w:val="000000"/>
        </w:rPr>
        <w:t xml:space="preserve">L’approvazione del Bilancio Unico di Ateneo di previsione annuale </w:t>
      </w:r>
      <w:proofErr w:type="spellStart"/>
      <w:r w:rsidRPr="000F70A0">
        <w:rPr>
          <w:color w:val="000000"/>
        </w:rPr>
        <w:t>autorizzatorio</w:t>
      </w:r>
      <w:proofErr w:type="spellEnd"/>
      <w:r w:rsidRPr="000F70A0">
        <w:rPr>
          <w:color w:val="000000"/>
        </w:rPr>
        <w:t>, corredato dei documenti previsti dalla normativa vigente, deve avvenire entro il termine massimo del 31 dicembre dell’anno precedente al periodo di riferimento.</w:t>
      </w:r>
    </w:p>
    <w:p w:rsidR="00A01248" w:rsidRDefault="00A01248" w:rsidP="00A01248">
      <w:pPr>
        <w:autoSpaceDE w:val="0"/>
        <w:autoSpaceDN w:val="0"/>
        <w:adjustRightInd w:val="0"/>
        <w:jc w:val="both"/>
        <w:rPr>
          <w:color w:val="000000"/>
        </w:rPr>
      </w:pPr>
    </w:p>
    <w:p w:rsidR="007A5ECC" w:rsidRPr="000F70A0" w:rsidRDefault="007A5ECC" w:rsidP="00503AD7">
      <w:pPr>
        <w:autoSpaceDE w:val="0"/>
        <w:autoSpaceDN w:val="0"/>
        <w:adjustRightInd w:val="0"/>
        <w:jc w:val="both"/>
        <w:rPr>
          <w:color w:val="000000"/>
        </w:rPr>
      </w:pPr>
    </w:p>
    <w:p w:rsidR="007A5ECC" w:rsidRDefault="007A5ECC" w:rsidP="00503AD7">
      <w:pPr>
        <w:autoSpaceDE w:val="0"/>
        <w:autoSpaceDN w:val="0"/>
        <w:adjustRightInd w:val="0"/>
        <w:jc w:val="center"/>
        <w:rPr>
          <w:b/>
          <w:bCs/>
          <w:i/>
          <w:color w:val="000000"/>
        </w:rPr>
      </w:pPr>
      <w:r w:rsidRPr="00503AD7">
        <w:rPr>
          <w:b/>
          <w:bCs/>
          <w:i/>
          <w:iCs/>
          <w:color w:val="000000"/>
        </w:rPr>
        <w:t xml:space="preserve">Paragrafo II </w:t>
      </w:r>
      <w:r w:rsidRPr="00503AD7">
        <w:rPr>
          <w:b/>
          <w:bCs/>
          <w:color w:val="000000"/>
        </w:rPr>
        <w:t xml:space="preserve">– </w:t>
      </w:r>
      <w:r w:rsidRPr="00503AD7">
        <w:rPr>
          <w:b/>
          <w:bCs/>
          <w:i/>
          <w:color w:val="000000"/>
        </w:rPr>
        <w:t>Gestione</w:t>
      </w:r>
    </w:p>
    <w:p w:rsidR="007A5ECC" w:rsidRPr="00503AD7" w:rsidRDefault="007A5ECC" w:rsidP="00503AD7">
      <w:pPr>
        <w:autoSpaceDE w:val="0"/>
        <w:autoSpaceDN w:val="0"/>
        <w:adjustRightInd w:val="0"/>
        <w:jc w:val="center"/>
        <w:rPr>
          <w:b/>
          <w:bCs/>
          <w:color w:val="000000"/>
        </w:rPr>
      </w:pPr>
    </w:p>
    <w:p w:rsidR="007A5ECC" w:rsidRDefault="007A5ECC" w:rsidP="00503AD7">
      <w:pPr>
        <w:autoSpaceDE w:val="0"/>
        <w:autoSpaceDN w:val="0"/>
        <w:adjustRightInd w:val="0"/>
        <w:jc w:val="both"/>
        <w:rPr>
          <w:b/>
          <w:bCs/>
          <w:color w:val="000000"/>
        </w:rPr>
      </w:pPr>
      <w:r w:rsidRPr="000F70A0">
        <w:rPr>
          <w:b/>
          <w:bCs/>
          <w:color w:val="000000"/>
        </w:rPr>
        <w:t>Art. 25 – Esercizio provvisorio</w:t>
      </w:r>
    </w:p>
    <w:p w:rsidR="007A5ECC" w:rsidRPr="000F70A0" w:rsidRDefault="007A5ECC" w:rsidP="00503AD7">
      <w:pPr>
        <w:autoSpaceDE w:val="0"/>
        <w:autoSpaceDN w:val="0"/>
        <w:adjustRightInd w:val="0"/>
        <w:jc w:val="both"/>
        <w:rPr>
          <w:b/>
          <w:bCs/>
          <w:color w:val="000000"/>
        </w:rPr>
      </w:pPr>
    </w:p>
    <w:p w:rsidR="007A5ECC" w:rsidRPr="000F70A0" w:rsidRDefault="007A5ECC" w:rsidP="00503AD7">
      <w:pPr>
        <w:numPr>
          <w:ilvl w:val="0"/>
          <w:numId w:val="20"/>
        </w:numPr>
        <w:tabs>
          <w:tab w:val="left" w:pos="360"/>
        </w:tabs>
        <w:autoSpaceDE w:val="0"/>
        <w:autoSpaceDN w:val="0"/>
        <w:adjustRightInd w:val="0"/>
        <w:ind w:left="360"/>
        <w:jc w:val="both"/>
        <w:rPr>
          <w:color w:val="000000"/>
        </w:rPr>
      </w:pPr>
      <w:r w:rsidRPr="000F70A0">
        <w:rPr>
          <w:color w:val="000000"/>
        </w:rPr>
        <w:t>Qualora il Consiglio di Amministrazione non sia in grado di approvare il Bilancio di Previsione entro i termini stabiliti dal presente Regolamento, autorizza con propria deliberazione l’esercizio provvisorio del bilancio, al fine di consentire l’operatività ordinaria.</w:t>
      </w:r>
    </w:p>
    <w:p w:rsidR="007A5ECC" w:rsidRDefault="007A5ECC" w:rsidP="00503AD7">
      <w:pPr>
        <w:numPr>
          <w:ilvl w:val="0"/>
          <w:numId w:val="20"/>
        </w:numPr>
        <w:tabs>
          <w:tab w:val="left" w:pos="360"/>
        </w:tabs>
        <w:autoSpaceDE w:val="0"/>
        <w:autoSpaceDN w:val="0"/>
        <w:adjustRightInd w:val="0"/>
        <w:ind w:left="360"/>
        <w:jc w:val="both"/>
        <w:rPr>
          <w:color w:val="000000"/>
        </w:rPr>
      </w:pPr>
      <w:r w:rsidRPr="000F70A0">
        <w:rPr>
          <w:color w:val="000000"/>
        </w:rPr>
        <w:lastRenderedPageBreak/>
        <w:t>L’esercizio provvisorio può essere di norma autorizzato per un periodo non superiore a tre mesi, durante il quale possono essere sostenute esclusivamente le spese ordinarie, quelle obbligatorie e quelle relative a progetti pluriennali già in corso nell’esercizio precedente. Le spese obbligatorie sono riferite a impegni già assunti e a spese che, se non effettuate, possono nuocere al regolare svolgimento delle attività di gestione ordinaria e/o risultare contrarie a norme di carattere generale.</w:t>
      </w:r>
    </w:p>
    <w:p w:rsidR="007A5ECC" w:rsidRPr="000F70A0" w:rsidRDefault="007A5ECC" w:rsidP="00503AD7">
      <w:pPr>
        <w:tabs>
          <w:tab w:val="left" w:pos="360"/>
        </w:tabs>
        <w:autoSpaceDE w:val="0"/>
        <w:autoSpaceDN w:val="0"/>
        <w:adjustRightInd w:val="0"/>
        <w:jc w:val="both"/>
        <w:rPr>
          <w:color w:val="000000"/>
        </w:rPr>
      </w:pPr>
    </w:p>
    <w:p w:rsidR="007A5ECC" w:rsidRDefault="007A5ECC" w:rsidP="00503AD7">
      <w:pPr>
        <w:autoSpaceDE w:val="0"/>
        <w:autoSpaceDN w:val="0"/>
        <w:adjustRightInd w:val="0"/>
        <w:jc w:val="both"/>
        <w:rPr>
          <w:b/>
          <w:bCs/>
          <w:color w:val="000000"/>
        </w:rPr>
      </w:pPr>
      <w:r w:rsidRPr="000F70A0">
        <w:rPr>
          <w:b/>
          <w:bCs/>
          <w:color w:val="000000"/>
        </w:rPr>
        <w:t>Art. 26 – Finalità del processo di gestione</w:t>
      </w:r>
    </w:p>
    <w:p w:rsidR="007A5ECC" w:rsidRPr="000F70A0" w:rsidRDefault="007A5ECC" w:rsidP="00503AD7">
      <w:pPr>
        <w:autoSpaceDE w:val="0"/>
        <w:autoSpaceDN w:val="0"/>
        <w:adjustRightInd w:val="0"/>
        <w:jc w:val="both"/>
        <w:rPr>
          <w:b/>
          <w:bCs/>
          <w:color w:val="000000"/>
        </w:rPr>
      </w:pPr>
    </w:p>
    <w:p w:rsidR="007A5ECC" w:rsidRPr="000F70A0" w:rsidRDefault="007A5ECC" w:rsidP="00503AD7">
      <w:pPr>
        <w:numPr>
          <w:ilvl w:val="0"/>
          <w:numId w:val="21"/>
        </w:numPr>
        <w:tabs>
          <w:tab w:val="clear" w:pos="1440"/>
          <w:tab w:val="num" w:pos="360"/>
        </w:tabs>
        <w:autoSpaceDE w:val="0"/>
        <w:autoSpaceDN w:val="0"/>
        <w:adjustRightInd w:val="0"/>
        <w:ind w:left="360"/>
        <w:jc w:val="both"/>
        <w:rPr>
          <w:color w:val="000000"/>
        </w:rPr>
      </w:pPr>
      <w:r w:rsidRPr="000F70A0">
        <w:rPr>
          <w:color w:val="000000"/>
        </w:rPr>
        <w:t>Il processo di gestione ha lo scopo di registrare, all’interno del sistema contabile, gli eventi che hanno rilevanza sotto il profilo della gestione economico-patrimoniale, finanziaria ed analitica.</w:t>
      </w:r>
    </w:p>
    <w:p w:rsidR="007A5ECC" w:rsidRDefault="007A5ECC" w:rsidP="00503AD7">
      <w:pPr>
        <w:autoSpaceDE w:val="0"/>
        <w:autoSpaceDN w:val="0"/>
        <w:adjustRightInd w:val="0"/>
        <w:jc w:val="both"/>
        <w:rPr>
          <w:b/>
          <w:bCs/>
          <w:color w:val="000000"/>
        </w:rPr>
      </w:pPr>
    </w:p>
    <w:p w:rsidR="007A5ECC" w:rsidRDefault="007A5ECC" w:rsidP="00503AD7">
      <w:pPr>
        <w:autoSpaceDE w:val="0"/>
        <w:autoSpaceDN w:val="0"/>
        <w:adjustRightInd w:val="0"/>
        <w:jc w:val="both"/>
        <w:rPr>
          <w:b/>
          <w:bCs/>
          <w:color w:val="000000"/>
        </w:rPr>
      </w:pPr>
      <w:r w:rsidRPr="000F70A0">
        <w:rPr>
          <w:b/>
          <w:bCs/>
          <w:color w:val="000000"/>
        </w:rPr>
        <w:t>Art. 27 – Registrazione degli eventi contabili</w:t>
      </w:r>
    </w:p>
    <w:p w:rsidR="007A5ECC" w:rsidRPr="000F70A0" w:rsidRDefault="007A5ECC" w:rsidP="00503AD7">
      <w:pPr>
        <w:autoSpaceDE w:val="0"/>
        <w:autoSpaceDN w:val="0"/>
        <w:adjustRightInd w:val="0"/>
        <w:jc w:val="both"/>
        <w:rPr>
          <w:b/>
          <w:bCs/>
          <w:color w:val="000000"/>
        </w:rPr>
      </w:pPr>
    </w:p>
    <w:p w:rsidR="007A5ECC" w:rsidRPr="000F70A0" w:rsidRDefault="007A5ECC" w:rsidP="00503AD7">
      <w:pPr>
        <w:numPr>
          <w:ilvl w:val="0"/>
          <w:numId w:val="22"/>
        </w:numPr>
        <w:tabs>
          <w:tab w:val="clear" w:pos="1440"/>
          <w:tab w:val="left" w:pos="360"/>
        </w:tabs>
        <w:autoSpaceDE w:val="0"/>
        <w:autoSpaceDN w:val="0"/>
        <w:adjustRightInd w:val="0"/>
        <w:ind w:left="360"/>
        <w:jc w:val="both"/>
        <w:rPr>
          <w:color w:val="000000"/>
        </w:rPr>
      </w:pPr>
      <w:r w:rsidRPr="000F70A0">
        <w:rPr>
          <w:color w:val="000000"/>
        </w:rPr>
        <w:t>Per quanto riguarda la gestione del ciclo passivo o comunque delle fasi di registrazione di costi o investimenti:</w:t>
      </w:r>
    </w:p>
    <w:p w:rsidR="007A5ECC" w:rsidRPr="000F70A0" w:rsidRDefault="007A5ECC" w:rsidP="00503AD7">
      <w:pPr>
        <w:numPr>
          <w:ilvl w:val="1"/>
          <w:numId w:val="22"/>
        </w:numPr>
        <w:tabs>
          <w:tab w:val="clear" w:pos="1440"/>
          <w:tab w:val="left" w:pos="360"/>
          <w:tab w:val="num" w:pos="720"/>
        </w:tabs>
        <w:autoSpaceDE w:val="0"/>
        <w:autoSpaceDN w:val="0"/>
        <w:adjustRightInd w:val="0"/>
        <w:ind w:left="720"/>
        <w:jc w:val="both"/>
        <w:rPr>
          <w:color w:val="000000"/>
        </w:rPr>
      </w:pPr>
      <w:proofErr w:type="gramStart"/>
      <w:r w:rsidRPr="000F70A0">
        <w:rPr>
          <w:color w:val="000000"/>
        </w:rPr>
        <w:t>l’assunzione</w:t>
      </w:r>
      <w:proofErr w:type="gramEnd"/>
      <w:r w:rsidRPr="000F70A0">
        <w:rPr>
          <w:color w:val="000000"/>
        </w:rPr>
        <w:t xml:space="preserve"> di decisioni che comportano l’utilizzo di risorse genera la decurtazione delle risorse assegnate al budget delle strutture, articolato in unità analitiche e progetti; al fine della decurtazione è quindi necessario che siano presenti disponibilità residue; il budget è gestito dal sistema di contabilità analitica attraverso idonea reportistica;</w:t>
      </w:r>
    </w:p>
    <w:p w:rsidR="007A5ECC" w:rsidRPr="000F70A0" w:rsidRDefault="007A5ECC" w:rsidP="00503AD7">
      <w:pPr>
        <w:numPr>
          <w:ilvl w:val="1"/>
          <w:numId w:val="22"/>
        </w:numPr>
        <w:tabs>
          <w:tab w:val="clear" w:pos="1440"/>
          <w:tab w:val="left" w:pos="360"/>
          <w:tab w:val="num" w:pos="720"/>
        </w:tabs>
        <w:autoSpaceDE w:val="0"/>
        <w:autoSpaceDN w:val="0"/>
        <w:adjustRightInd w:val="0"/>
        <w:ind w:left="720"/>
        <w:jc w:val="both"/>
        <w:rPr>
          <w:color w:val="000000"/>
        </w:rPr>
      </w:pPr>
      <w:proofErr w:type="gramStart"/>
      <w:r w:rsidRPr="000F70A0">
        <w:rPr>
          <w:color w:val="000000"/>
        </w:rPr>
        <w:t>la</w:t>
      </w:r>
      <w:proofErr w:type="gramEnd"/>
      <w:r w:rsidRPr="000F70A0">
        <w:rPr>
          <w:color w:val="000000"/>
        </w:rPr>
        <w:t xml:space="preserve"> contabilità generale rileva unicamente gli accadimenti che generano una variazione economica, patrimoniale, finanziaria, certa, assimilata o presunta. La rappresentazione contabile dei fatti amministrativi si concretizza nel momento in cui si determina la corrispondente manifestazione numeraria. Rispetto all’acquisizione di beni e servizi è necessario che essi siano consegnati, accettati e in relazione alla tipologia merceologica e/o alla strumentalità d’impiego pluriennale eventualmente anche collaudati.</w:t>
      </w:r>
    </w:p>
    <w:p w:rsidR="007A5ECC" w:rsidRPr="000F70A0" w:rsidRDefault="007A5ECC" w:rsidP="00503AD7">
      <w:pPr>
        <w:numPr>
          <w:ilvl w:val="0"/>
          <w:numId w:val="22"/>
        </w:numPr>
        <w:tabs>
          <w:tab w:val="clear" w:pos="1440"/>
          <w:tab w:val="num" w:pos="360"/>
        </w:tabs>
        <w:autoSpaceDE w:val="0"/>
        <w:autoSpaceDN w:val="0"/>
        <w:adjustRightInd w:val="0"/>
        <w:ind w:left="360"/>
        <w:jc w:val="both"/>
        <w:rPr>
          <w:color w:val="000000"/>
        </w:rPr>
      </w:pPr>
      <w:r w:rsidRPr="000F70A0">
        <w:rPr>
          <w:color w:val="000000"/>
        </w:rPr>
        <w:t>Per quanto riguarda la gestione del ciclo attivo o comunque delle fasi di registrazione dei ricavi e/o delle risorse derivanti dai disinvestimenti, le regole di registrazione applicabili in contabilità analitica sono:</w:t>
      </w:r>
    </w:p>
    <w:p w:rsidR="007A5ECC" w:rsidRPr="000F70A0" w:rsidRDefault="007A5ECC" w:rsidP="00503AD7">
      <w:pPr>
        <w:numPr>
          <w:ilvl w:val="1"/>
          <w:numId w:val="22"/>
        </w:numPr>
        <w:tabs>
          <w:tab w:val="clear" w:pos="1440"/>
          <w:tab w:val="num" w:pos="720"/>
        </w:tabs>
        <w:autoSpaceDE w:val="0"/>
        <w:autoSpaceDN w:val="0"/>
        <w:adjustRightInd w:val="0"/>
        <w:ind w:left="720"/>
        <w:jc w:val="both"/>
        <w:rPr>
          <w:color w:val="000000"/>
        </w:rPr>
      </w:pPr>
      <w:proofErr w:type="gramStart"/>
      <w:r w:rsidRPr="000F70A0">
        <w:rPr>
          <w:color w:val="000000"/>
        </w:rPr>
        <w:t>la</w:t>
      </w:r>
      <w:proofErr w:type="gramEnd"/>
      <w:r w:rsidRPr="000F70A0">
        <w:rPr>
          <w:color w:val="000000"/>
        </w:rPr>
        <w:t xml:space="preserve"> registrazione del contratto attivo, di natura istituzionale o commerciale, contenente l’importo complessivo del finanziamento;</w:t>
      </w:r>
    </w:p>
    <w:p w:rsidR="007A5ECC" w:rsidRPr="000F70A0" w:rsidRDefault="007A5ECC" w:rsidP="00503AD7">
      <w:pPr>
        <w:numPr>
          <w:ilvl w:val="1"/>
          <w:numId w:val="22"/>
        </w:numPr>
        <w:tabs>
          <w:tab w:val="clear" w:pos="1440"/>
          <w:tab w:val="num" w:pos="720"/>
        </w:tabs>
        <w:autoSpaceDE w:val="0"/>
        <w:autoSpaceDN w:val="0"/>
        <w:adjustRightInd w:val="0"/>
        <w:ind w:left="720"/>
        <w:jc w:val="both"/>
        <w:rPr>
          <w:color w:val="000000"/>
        </w:rPr>
      </w:pPr>
      <w:proofErr w:type="gramStart"/>
      <w:r w:rsidRPr="000F70A0">
        <w:rPr>
          <w:color w:val="000000"/>
        </w:rPr>
        <w:t>l’eventuale</w:t>
      </w:r>
      <w:proofErr w:type="gramEnd"/>
      <w:r w:rsidRPr="000F70A0">
        <w:rPr>
          <w:color w:val="000000"/>
        </w:rPr>
        <w:t xml:space="preserve"> suddivisione in rate per la creazione del correlativo centro di ricavo e del corrispondente centro di costo.</w:t>
      </w:r>
    </w:p>
    <w:p w:rsidR="007A5ECC" w:rsidRPr="000F70A0" w:rsidRDefault="007A5ECC" w:rsidP="00503AD7">
      <w:pPr>
        <w:numPr>
          <w:ilvl w:val="0"/>
          <w:numId w:val="22"/>
        </w:numPr>
        <w:tabs>
          <w:tab w:val="clear" w:pos="1440"/>
          <w:tab w:val="num" w:pos="360"/>
        </w:tabs>
        <w:autoSpaceDE w:val="0"/>
        <w:autoSpaceDN w:val="0"/>
        <w:adjustRightInd w:val="0"/>
        <w:ind w:left="360"/>
        <w:jc w:val="both"/>
        <w:rPr>
          <w:color w:val="000000"/>
        </w:rPr>
      </w:pPr>
      <w:r w:rsidRPr="000F70A0">
        <w:rPr>
          <w:color w:val="000000"/>
        </w:rPr>
        <w:t>Per quanto riguarda la gestione del ciclo attivo o comunque delle fasi di registrazione dei ricavi e/o delle risorse derivanti dai disinvestimenti, le regole di registrazione applicabili in contabilità generale sono:</w:t>
      </w:r>
    </w:p>
    <w:p w:rsidR="007A5ECC" w:rsidRPr="000F70A0" w:rsidRDefault="007A5ECC" w:rsidP="00503AD7">
      <w:pPr>
        <w:numPr>
          <w:ilvl w:val="1"/>
          <w:numId w:val="22"/>
        </w:numPr>
        <w:tabs>
          <w:tab w:val="left" w:pos="720"/>
        </w:tabs>
        <w:autoSpaceDE w:val="0"/>
        <w:autoSpaceDN w:val="0"/>
        <w:adjustRightInd w:val="0"/>
        <w:ind w:hanging="1080"/>
        <w:jc w:val="both"/>
        <w:rPr>
          <w:color w:val="000000"/>
        </w:rPr>
      </w:pPr>
      <w:proofErr w:type="gramStart"/>
      <w:r w:rsidRPr="000F70A0">
        <w:rPr>
          <w:color w:val="000000"/>
        </w:rPr>
        <w:t>la</w:t>
      </w:r>
      <w:proofErr w:type="gramEnd"/>
      <w:r w:rsidRPr="000F70A0">
        <w:rPr>
          <w:color w:val="000000"/>
        </w:rPr>
        <w:t xml:space="preserve"> registrazione di crediti certi;</w:t>
      </w:r>
    </w:p>
    <w:p w:rsidR="007A5ECC" w:rsidRPr="000F70A0" w:rsidRDefault="007A5ECC" w:rsidP="00503AD7">
      <w:pPr>
        <w:numPr>
          <w:ilvl w:val="1"/>
          <w:numId w:val="22"/>
        </w:numPr>
        <w:tabs>
          <w:tab w:val="left" w:pos="720"/>
        </w:tabs>
        <w:autoSpaceDE w:val="0"/>
        <w:autoSpaceDN w:val="0"/>
        <w:adjustRightInd w:val="0"/>
        <w:ind w:hanging="1080"/>
        <w:jc w:val="both"/>
        <w:rPr>
          <w:color w:val="000000"/>
        </w:rPr>
      </w:pPr>
      <w:proofErr w:type="gramStart"/>
      <w:r w:rsidRPr="000F70A0">
        <w:rPr>
          <w:color w:val="000000"/>
        </w:rPr>
        <w:t>la</w:t>
      </w:r>
      <w:proofErr w:type="gramEnd"/>
      <w:r w:rsidRPr="000F70A0">
        <w:rPr>
          <w:color w:val="000000"/>
        </w:rPr>
        <w:t xml:space="preserve"> registrazione di ricavi per competenza.</w:t>
      </w:r>
    </w:p>
    <w:p w:rsidR="007A5ECC" w:rsidRPr="000F70A0" w:rsidRDefault="007A5ECC" w:rsidP="00503AD7">
      <w:pPr>
        <w:numPr>
          <w:ilvl w:val="0"/>
          <w:numId w:val="22"/>
        </w:numPr>
        <w:tabs>
          <w:tab w:val="clear" w:pos="1440"/>
          <w:tab w:val="num" w:pos="360"/>
        </w:tabs>
        <w:autoSpaceDE w:val="0"/>
        <w:autoSpaceDN w:val="0"/>
        <w:adjustRightInd w:val="0"/>
        <w:ind w:left="360"/>
        <w:jc w:val="both"/>
        <w:rPr>
          <w:color w:val="000000"/>
        </w:rPr>
      </w:pPr>
      <w:r w:rsidRPr="000F70A0">
        <w:rPr>
          <w:color w:val="000000"/>
        </w:rPr>
        <w:t>I crediti, come definiti dai principi contabili, di cui alla normativa vigente, vanno esposti in bilancio al valore di presunto realizzo; il valore nominale dei crediti in bilancio deve essere pertanto rettificato tramite un fondo di svalutazione appositamente stanziato, secondo quanto disposto dai suddetti principi contabili, in presenza di incertezza sulla loro completa esigibilità.</w:t>
      </w:r>
    </w:p>
    <w:p w:rsidR="007A5ECC" w:rsidRPr="000F70A0" w:rsidRDefault="007A5ECC" w:rsidP="00503AD7">
      <w:pPr>
        <w:numPr>
          <w:ilvl w:val="0"/>
          <w:numId w:val="22"/>
        </w:numPr>
        <w:tabs>
          <w:tab w:val="clear" w:pos="1440"/>
          <w:tab w:val="num" w:pos="360"/>
        </w:tabs>
        <w:autoSpaceDE w:val="0"/>
        <w:autoSpaceDN w:val="0"/>
        <w:adjustRightInd w:val="0"/>
        <w:ind w:left="360"/>
        <w:jc w:val="both"/>
        <w:rPr>
          <w:color w:val="000000"/>
        </w:rPr>
      </w:pPr>
      <w:r w:rsidRPr="000F70A0">
        <w:rPr>
          <w:color w:val="000000"/>
        </w:rPr>
        <w:t>I ricavi sono registrati solo se ragionevolmente certi in ordine alla loro esistenza e alla determinabilità dell’ammontare; i ricavi devono essere riconosciuti quando il processo produttivo dei beni e dei servizi è stato completato e la cessione dei beni, nonché l’erogazione del servizio è avvenuta.</w:t>
      </w:r>
    </w:p>
    <w:p w:rsidR="007A5ECC" w:rsidRPr="000F70A0" w:rsidRDefault="007A5ECC" w:rsidP="00503AD7">
      <w:pPr>
        <w:numPr>
          <w:ilvl w:val="0"/>
          <w:numId w:val="22"/>
        </w:numPr>
        <w:tabs>
          <w:tab w:val="clear" w:pos="1440"/>
          <w:tab w:val="num" w:pos="360"/>
        </w:tabs>
        <w:autoSpaceDE w:val="0"/>
        <w:autoSpaceDN w:val="0"/>
        <w:adjustRightInd w:val="0"/>
        <w:ind w:left="360"/>
        <w:jc w:val="both"/>
        <w:rPr>
          <w:color w:val="000000"/>
        </w:rPr>
      </w:pPr>
      <w:r w:rsidRPr="000F70A0">
        <w:rPr>
          <w:color w:val="000000"/>
        </w:rPr>
        <w:t>Gli accadimenti che generano una variazione finanziaria certa, assimilata o presunta che determinano in contabilità l’iscrizione di ricavi sono i seguenti:</w:t>
      </w:r>
    </w:p>
    <w:p w:rsidR="007A5ECC" w:rsidRPr="000F70A0" w:rsidRDefault="007A5ECC" w:rsidP="00503AD7">
      <w:pPr>
        <w:numPr>
          <w:ilvl w:val="1"/>
          <w:numId w:val="22"/>
        </w:numPr>
        <w:tabs>
          <w:tab w:val="left" w:pos="720"/>
        </w:tabs>
        <w:autoSpaceDE w:val="0"/>
        <w:autoSpaceDN w:val="0"/>
        <w:adjustRightInd w:val="0"/>
        <w:ind w:hanging="1080"/>
        <w:jc w:val="both"/>
        <w:rPr>
          <w:color w:val="000000"/>
        </w:rPr>
      </w:pPr>
      <w:proofErr w:type="gramStart"/>
      <w:r w:rsidRPr="000F70A0">
        <w:rPr>
          <w:color w:val="000000"/>
        </w:rPr>
        <w:t>per</w:t>
      </w:r>
      <w:proofErr w:type="gramEnd"/>
      <w:r w:rsidRPr="000F70A0">
        <w:rPr>
          <w:color w:val="000000"/>
        </w:rPr>
        <w:t xml:space="preserve"> l’attività istituzionale:</w:t>
      </w:r>
    </w:p>
    <w:p w:rsidR="007A5ECC" w:rsidRPr="000F70A0" w:rsidRDefault="007A5ECC" w:rsidP="00503AD7">
      <w:pPr>
        <w:numPr>
          <w:ilvl w:val="0"/>
          <w:numId w:val="42"/>
        </w:numPr>
        <w:tabs>
          <w:tab w:val="clear" w:pos="2160"/>
          <w:tab w:val="num" w:pos="1080"/>
        </w:tabs>
        <w:autoSpaceDE w:val="0"/>
        <w:autoSpaceDN w:val="0"/>
        <w:adjustRightInd w:val="0"/>
        <w:ind w:left="1080" w:hanging="360"/>
        <w:jc w:val="both"/>
        <w:rPr>
          <w:color w:val="000000"/>
        </w:rPr>
      </w:pPr>
      <w:proofErr w:type="gramStart"/>
      <w:r w:rsidRPr="000F70A0">
        <w:rPr>
          <w:color w:val="000000"/>
        </w:rPr>
        <w:lastRenderedPageBreak/>
        <w:t>la</w:t>
      </w:r>
      <w:proofErr w:type="gramEnd"/>
      <w:r w:rsidRPr="000F70A0">
        <w:rPr>
          <w:color w:val="000000"/>
        </w:rPr>
        <w:t xml:space="preserve"> formale comunicazione dell’assegnazione di contributi e finanziamenti statali;</w:t>
      </w:r>
    </w:p>
    <w:p w:rsidR="007A5ECC" w:rsidRPr="000F70A0" w:rsidRDefault="007A5ECC" w:rsidP="00503AD7">
      <w:pPr>
        <w:numPr>
          <w:ilvl w:val="0"/>
          <w:numId w:val="42"/>
        </w:numPr>
        <w:tabs>
          <w:tab w:val="clear" w:pos="2160"/>
          <w:tab w:val="num" w:pos="1080"/>
        </w:tabs>
        <w:autoSpaceDE w:val="0"/>
        <w:autoSpaceDN w:val="0"/>
        <w:adjustRightInd w:val="0"/>
        <w:ind w:left="1080" w:hanging="360"/>
        <w:jc w:val="both"/>
        <w:rPr>
          <w:color w:val="000000"/>
        </w:rPr>
      </w:pPr>
      <w:proofErr w:type="gramStart"/>
      <w:r w:rsidRPr="000F70A0">
        <w:rPr>
          <w:color w:val="000000"/>
        </w:rPr>
        <w:t>essa</w:t>
      </w:r>
      <w:proofErr w:type="gramEnd"/>
      <w:r w:rsidRPr="000F70A0">
        <w:rPr>
          <w:color w:val="000000"/>
        </w:rPr>
        <w:t xml:space="preserve"> genera una conferma o modifica del budget assegnato e quindi l’eventuale convalida degli stanziamenti definiti in sede previsionale;</w:t>
      </w:r>
    </w:p>
    <w:p w:rsidR="007A5ECC" w:rsidRPr="000F70A0" w:rsidRDefault="007A5ECC" w:rsidP="00503AD7">
      <w:pPr>
        <w:numPr>
          <w:ilvl w:val="0"/>
          <w:numId w:val="42"/>
        </w:numPr>
        <w:tabs>
          <w:tab w:val="clear" w:pos="2160"/>
          <w:tab w:val="num" w:pos="1080"/>
        </w:tabs>
        <w:autoSpaceDE w:val="0"/>
        <w:autoSpaceDN w:val="0"/>
        <w:adjustRightInd w:val="0"/>
        <w:ind w:left="1080" w:hanging="360"/>
        <w:jc w:val="both"/>
        <w:rPr>
          <w:color w:val="000000"/>
        </w:rPr>
      </w:pPr>
      <w:proofErr w:type="gramStart"/>
      <w:r w:rsidRPr="000F70A0">
        <w:rPr>
          <w:color w:val="000000"/>
        </w:rPr>
        <w:t>le</w:t>
      </w:r>
      <w:proofErr w:type="gramEnd"/>
      <w:r w:rsidRPr="000F70A0">
        <w:rPr>
          <w:color w:val="000000"/>
        </w:rPr>
        <w:t xml:space="preserve"> iscrizioni perfezionate dagli studenti ai corsi dell’Ateneo;</w:t>
      </w:r>
    </w:p>
    <w:p w:rsidR="007A5ECC" w:rsidRPr="000F70A0" w:rsidRDefault="007A5ECC" w:rsidP="00503AD7">
      <w:pPr>
        <w:numPr>
          <w:ilvl w:val="0"/>
          <w:numId w:val="42"/>
        </w:numPr>
        <w:tabs>
          <w:tab w:val="clear" w:pos="2160"/>
          <w:tab w:val="num" w:pos="1080"/>
        </w:tabs>
        <w:autoSpaceDE w:val="0"/>
        <w:autoSpaceDN w:val="0"/>
        <w:adjustRightInd w:val="0"/>
        <w:ind w:left="1080" w:hanging="360"/>
        <w:jc w:val="both"/>
        <w:rPr>
          <w:color w:val="000000"/>
        </w:rPr>
      </w:pPr>
      <w:proofErr w:type="gramStart"/>
      <w:r w:rsidRPr="000F70A0">
        <w:rPr>
          <w:color w:val="000000"/>
        </w:rPr>
        <w:t>la</w:t>
      </w:r>
      <w:proofErr w:type="gramEnd"/>
      <w:r w:rsidRPr="000F70A0">
        <w:rPr>
          <w:color w:val="000000"/>
        </w:rPr>
        <w:t xml:space="preserve"> sottoscrizione del contratto/convenzione/accordo e la formale comunicazione dell’assegnazione del finanziamento o dell’accettazione delle rendicontazioni.</w:t>
      </w:r>
    </w:p>
    <w:p w:rsidR="007A5ECC" w:rsidRPr="000F70A0" w:rsidRDefault="007A5ECC" w:rsidP="00503AD7">
      <w:pPr>
        <w:numPr>
          <w:ilvl w:val="0"/>
          <w:numId w:val="23"/>
        </w:numPr>
        <w:tabs>
          <w:tab w:val="clear" w:pos="1440"/>
        </w:tabs>
        <w:autoSpaceDE w:val="0"/>
        <w:autoSpaceDN w:val="0"/>
        <w:adjustRightInd w:val="0"/>
        <w:ind w:hanging="1080"/>
        <w:jc w:val="both"/>
        <w:rPr>
          <w:color w:val="000000"/>
        </w:rPr>
      </w:pPr>
      <w:proofErr w:type="gramStart"/>
      <w:r w:rsidRPr="000F70A0">
        <w:rPr>
          <w:color w:val="000000"/>
        </w:rPr>
        <w:t>per</w:t>
      </w:r>
      <w:proofErr w:type="gramEnd"/>
      <w:r w:rsidRPr="000F70A0">
        <w:rPr>
          <w:color w:val="000000"/>
        </w:rPr>
        <w:t xml:space="preserve"> l’attività commerciale:</w:t>
      </w:r>
    </w:p>
    <w:p w:rsidR="007A5ECC" w:rsidRPr="000F70A0" w:rsidRDefault="007A5ECC" w:rsidP="00503AD7">
      <w:pPr>
        <w:numPr>
          <w:ilvl w:val="0"/>
          <w:numId w:val="24"/>
        </w:numPr>
        <w:tabs>
          <w:tab w:val="clear" w:pos="1440"/>
          <w:tab w:val="num" w:pos="1080"/>
        </w:tabs>
        <w:autoSpaceDE w:val="0"/>
        <w:autoSpaceDN w:val="0"/>
        <w:adjustRightInd w:val="0"/>
        <w:ind w:hanging="720"/>
        <w:jc w:val="both"/>
        <w:rPr>
          <w:color w:val="000000"/>
        </w:rPr>
      </w:pPr>
      <w:proofErr w:type="gramStart"/>
      <w:r w:rsidRPr="000F70A0">
        <w:rPr>
          <w:color w:val="000000"/>
        </w:rPr>
        <w:t>consegna</w:t>
      </w:r>
      <w:proofErr w:type="gramEnd"/>
      <w:r w:rsidRPr="000F70A0">
        <w:rPr>
          <w:color w:val="000000"/>
        </w:rPr>
        <w:t xml:space="preserve"> e spedizione dei beni e/o ultimazione delle prestazioni di servizi.</w:t>
      </w:r>
    </w:p>
    <w:p w:rsidR="007A5ECC" w:rsidRPr="000F70A0" w:rsidRDefault="007A5ECC" w:rsidP="00503AD7">
      <w:pPr>
        <w:numPr>
          <w:ilvl w:val="0"/>
          <w:numId w:val="22"/>
        </w:numPr>
        <w:tabs>
          <w:tab w:val="clear" w:pos="1440"/>
          <w:tab w:val="num" w:pos="360"/>
        </w:tabs>
        <w:autoSpaceDE w:val="0"/>
        <w:autoSpaceDN w:val="0"/>
        <w:adjustRightInd w:val="0"/>
        <w:ind w:left="360"/>
        <w:jc w:val="both"/>
        <w:rPr>
          <w:color w:val="000000"/>
        </w:rPr>
      </w:pPr>
      <w:r w:rsidRPr="000F70A0">
        <w:rPr>
          <w:color w:val="000000"/>
        </w:rPr>
        <w:t>Per quanto riguarda la gestione del ciclo passivo o comunque delle fasi di registrazione dei costi, in base al principio di prudenza, tutte le componenti negative devono essere contabilizzate anche se non sono definitivamente realizzate; pertanto le regole di registrazione applicabili sono:</w:t>
      </w:r>
    </w:p>
    <w:p w:rsidR="007A5ECC" w:rsidRPr="000F70A0" w:rsidRDefault="007A5ECC" w:rsidP="00503AD7">
      <w:pPr>
        <w:numPr>
          <w:ilvl w:val="1"/>
          <w:numId w:val="22"/>
        </w:numPr>
        <w:tabs>
          <w:tab w:val="clear" w:pos="1440"/>
          <w:tab w:val="num" w:pos="720"/>
        </w:tabs>
        <w:autoSpaceDE w:val="0"/>
        <w:autoSpaceDN w:val="0"/>
        <w:adjustRightInd w:val="0"/>
        <w:ind w:left="720"/>
        <w:jc w:val="both"/>
        <w:rPr>
          <w:color w:val="000000"/>
        </w:rPr>
      </w:pPr>
      <w:proofErr w:type="gramStart"/>
      <w:r w:rsidRPr="000F70A0">
        <w:rPr>
          <w:color w:val="000000"/>
        </w:rPr>
        <w:t>in</w:t>
      </w:r>
      <w:proofErr w:type="gramEnd"/>
      <w:r w:rsidRPr="000F70A0">
        <w:rPr>
          <w:color w:val="000000"/>
        </w:rPr>
        <w:t xml:space="preserve"> contabilità analitica, costituiscono decurtazione di budget le registrazioni che costituiscono un impegno annuale o pluriennale per la quota di competenza dell’esercizio, anche se non generano una variazione finanziaria certa, assimilata o presunta (es. contratto al personale, ordine, contratto passivo, ecc.);</w:t>
      </w:r>
    </w:p>
    <w:p w:rsidR="007A5ECC" w:rsidRPr="000F70A0" w:rsidRDefault="007A5ECC" w:rsidP="00503AD7">
      <w:pPr>
        <w:numPr>
          <w:ilvl w:val="1"/>
          <w:numId w:val="22"/>
        </w:numPr>
        <w:tabs>
          <w:tab w:val="clear" w:pos="1440"/>
          <w:tab w:val="num" w:pos="720"/>
        </w:tabs>
        <w:autoSpaceDE w:val="0"/>
        <w:autoSpaceDN w:val="0"/>
        <w:adjustRightInd w:val="0"/>
        <w:ind w:left="720"/>
        <w:jc w:val="both"/>
        <w:rPr>
          <w:color w:val="000000"/>
        </w:rPr>
      </w:pPr>
      <w:proofErr w:type="gramStart"/>
      <w:r w:rsidRPr="000F70A0">
        <w:rPr>
          <w:color w:val="000000"/>
        </w:rPr>
        <w:t>in</w:t>
      </w:r>
      <w:proofErr w:type="gramEnd"/>
      <w:r w:rsidRPr="000F70A0">
        <w:rPr>
          <w:color w:val="000000"/>
        </w:rPr>
        <w:t xml:space="preserve"> contabilità generale, la registrazione di debiti certi e presunti, nonché la registrazione di costi per competenza e accantonamenti di costi di competenza di ammontare incerto ma di certa esistenza.</w:t>
      </w:r>
    </w:p>
    <w:p w:rsidR="007A5ECC" w:rsidRPr="000F70A0" w:rsidRDefault="007A5ECC" w:rsidP="00503AD7">
      <w:pPr>
        <w:numPr>
          <w:ilvl w:val="0"/>
          <w:numId w:val="25"/>
        </w:numPr>
        <w:tabs>
          <w:tab w:val="left" w:pos="360"/>
        </w:tabs>
        <w:autoSpaceDE w:val="0"/>
        <w:autoSpaceDN w:val="0"/>
        <w:adjustRightInd w:val="0"/>
        <w:ind w:hanging="2340"/>
        <w:jc w:val="both"/>
        <w:rPr>
          <w:color w:val="000000"/>
        </w:rPr>
      </w:pPr>
      <w:r w:rsidRPr="000F70A0">
        <w:rPr>
          <w:color w:val="000000"/>
        </w:rPr>
        <w:t>I debiti vanno esposti in bilancio al valore nominale.</w:t>
      </w:r>
    </w:p>
    <w:p w:rsidR="007A5ECC" w:rsidRPr="000F70A0" w:rsidRDefault="007A5ECC" w:rsidP="00503AD7">
      <w:pPr>
        <w:numPr>
          <w:ilvl w:val="0"/>
          <w:numId w:val="25"/>
        </w:numPr>
        <w:tabs>
          <w:tab w:val="clear" w:pos="2340"/>
          <w:tab w:val="num" w:pos="360"/>
        </w:tabs>
        <w:autoSpaceDE w:val="0"/>
        <w:autoSpaceDN w:val="0"/>
        <w:adjustRightInd w:val="0"/>
        <w:ind w:left="360"/>
        <w:jc w:val="both"/>
        <w:rPr>
          <w:color w:val="000000"/>
        </w:rPr>
      </w:pPr>
      <w:r w:rsidRPr="000F70A0">
        <w:rPr>
          <w:color w:val="000000"/>
        </w:rPr>
        <w:t>I costi devono essere correlati con i ricavi dell'esercizio o con le altre risorse disponibili per lo svolgimento delle attività istituzionali al fine di esprimere la contrapposizione ai componenti economici positivi dell'esercizio dei relativi componenti economici negativi degli oneri e spese, siano essi certi o presunti; tale correlazione si realizza:</w:t>
      </w:r>
    </w:p>
    <w:p w:rsidR="007A5ECC" w:rsidRPr="000F70A0" w:rsidRDefault="007A5ECC" w:rsidP="00503AD7">
      <w:pPr>
        <w:numPr>
          <w:ilvl w:val="1"/>
          <w:numId w:val="25"/>
        </w:numPr>
        <w:tabs>
          <w:tab w:val="left" w:pos="720"/>
        </w:tabs>
        <w:autoSpaceDE w:val="0"/>
        <w:autoSpaceDN w:val="0"/>
        <w:adjustRightInd w:val="0"/>
        <w:ind w:hanging="1080"/>
        <w:jc w:val="both"/>
        <w:rPr>
          <w:color w:val="000000"/>
        </w:rPr>
      </w:pPr>
      <w:proofErr w:type="gramStart"/>
      <w:r w:rsidRPr="000F70A0">
        <w:rPr>
          <w:color w:val="000000"/>
        </w:rPr>
        <w:t>per</w:t>
      </w:r>
      <w:proofErr w:type="gramEnd"/>
      <w:r w:rsidRPr="000F70A0">
        <w:rPr>
          <w:color w:val="000000"/>
        </w:rPr>
        <w:t xml:space="preserve"> associazione di causa ad effetto tra costi ed erogazione;</w:t>
      </w:r>
    </w:p>
    <w:p w:rsidR="007A5ECC" w:rsidRPr="000F70A0" w:rsidRDefault="007A5ECC" w:rsidP="00503AD7">
      <w:pPr>
        <w:numPr>
          <w:ilvl w:val="1"/>
          <w:numId w:val="25"/>
        </w:numPr>
        <w:tabs>
          <w:tab w:val="left" w:pos="720"/>
        </w:tabs>
        <w:autoSpaceDE w:val="0"/>
        <w:autoSpaceDN w:val="0"/>
        <w:adjustRightInd w:val="0"/>
        <w:ind w:hanging="1080"/>
        <w:jc w:val="both"/>
        <w:rPr>
          <w:color w:val="000000"/>
        </w:rPr>
      </w:pPr>
      <w:proofErr w:type="gramStart"/>
      <w:r w:rsidRPr="000F70A0">
        <w:rPr>
          <w:color w:val="000000"/>
        </w:rPr>
        <w:t>per</w:t>
      </w:r>
      <w:proofErr w:type="gramEnd"/>
      <w:r w:rsidRPr="000F70A0">
        <w:rPr>
          <w:color w:val="000000"/>
        </w:rPr>
        <w:t xml:space="preserve"> cessione di prodotti o servizi.</w:t>
      </w:r>
    </w:p>
    <w:p w:rsidR="007A5ECC" w:rsidRPr="000F70A0" w:rsidRDefault="007A5ECC" w:rsidP="00503AD7">
      <w:pPr>
        <w:numPr>
          <w:ilvl w:val="0"/>
          <w:numId w:val="25"/>
        </w:numPr>
        <w:tabs>
          <w:tab w:val="clear" w:pos="2340"/>
          <w:tab w:val="num" w:pos="360"/>
        </w:tabs>
        <w:autoSpaceDE w:val="0"/>
        <w:autoSpaceDN w:val="0"/>
        <w:adjustRightInd w:val="0"/>
        <w:ind w:left="360"/>
        <w:jc w:val="both"/>
        <w:rPr>
          <w:color w:val="000000"/>
        </w:rPr>
      </w:pPr>
      <w:r w:rsidRPr="000F70A0">
        <w:rPr>
          <w:color w:val="000000"/>
        </w:rPr>
        <w:t>Il Manuale di Contabilità specifica la sequenza delle operazioni di registrazione, nonché i ruoli responsabili delle autorizzazioni.</w:t>
      </w:r>
    </w:p>
    <w:p w:rsidR="007A5ECC" w:rsidRDefault="007A5ECC" w:rsidP="00503AD7">
      <w:pPr>
        <w:numPr>
          <w:ilvl w:val="0"/>
          <w:numId w:val="25"/>
        </w:numPr>
        <w:tabs>
          <w:tab w:val="clear" w:pos="2340"/>
          <w:tab w:val="num" w:pos="360"/>
        </w:tabs>
        <w:autoSpaceDE w:val="0"/>
        <w:autoSpaceDN w:val="0"/>
        <w:adjustRightInd w:val="0"/>
        <w:ind w:left="360"/>
        <w:jc w:val="both"/>
        <w:rPr>
          <w:color w:val="000000"/>
        </w:rPr>
      </w:pPr>
      <w:r w:rsidRPr="000F70A0">
        <w:rPr>
          <w:color w:val="000000"/>
        </w:rPr>
        <w:t>Per quanto non espressamente previsto, si fa comunque riferimento ai principi contabili nazionali emanati dall’Organismo Italiano di Contabilità (OIC).</w:t>
      </w:r>
    </w:p>
    <w:p w:rsidR="007A5ECC" w:rsidRDefault="007A5ECC" w:rsidP="00503AD7">
      <w:pPr>
        <w:autoSpaceDE w:val="0"/>
        <w:autoSpaceDN w:val="0"/>
        <w:adjustRightInd w:val="0"/>
        <w:jc w:val="both"/>
        <w:rPr>
          <w:color w:val="000000"/>
        </w:rPr>
      </w:pPr>
    </w:p>
    <w:p w:rsidR="007A5ECC" w:rsidRPr="000F70A0" w:rsidRDefault="007A5ECC" w:rsidP="00503AD7">
      <w:pPr>
        <w:autoSpaceDE w:val="0"/>
        <w:autoSpaceDN w:val="0"/>
        <w:adjustRightInd w:val="0"/>
        <w:jc w:val="both"/>
        <w:rPr>
          <w:color w:val="000000"/>
        </w:rPr>
      </w:pPr>
    </w:p>
    <w:p w:rsidR="007A5ECC" w:rsidRDefault="007A5ECC" w:rsidP="00503AD7">
      <w:pPr>
        <w:autoSpaceDE w:val="0"/>
        <w:autoSpaceDN w:val="0"/>
        <w:adjustRightInd w:val="0"/>
        <w:jc w:val="both"/>
        <w:rPr>
          <w:b/>
          <w:bCs/>
          <w:color w:val="000000"/>
        </w:rPr>
      </w:pPr>
      <w:r w:rsidRPr="000F70A0">
        <w:rPr>
          <w:b/>
          <w:bCs/>
          <w:color w:val="000000"/>
        </w:rPr>
        <w:t>Art. 28 – Modalità di registrazione degli eventi contabili</w:t>
      </w:r>
    </w:p>
    <w:p w:rsidR="007A5ECC" w:rsidRPr="000F70A0" w:rsidRDefault="007A5ECC" w:rsidP="00503AD7">
      <w:pPr>
        <w:autoSpaceDE w:val="0"/>
        <w:autoSpaceDN w:val="0"/>
        <w:adjustRightInd w:val="0"/>
        <w:jc w:val="both"/>
        <w:rPr>
          <w:b/>
          <w:bCs/>
          <w:color w:val="000000"/>
        </w:rPr>
      </w:pPr>
    </w:p>
    <w:p w:rsidR="007A5ECC" w:rsidRPr="000F70A0" w:rsidRDefault="007A5ECC" w:rsidP="00503AD7">
      <w:pPr>
        <w:numPr>
          <w:ilvl w:val="0"/>
          <w:numId w:val="26"/>
        </w:numPr>
        <w:tabs>
          <w:tab w:val="clear" w:pos="2340"/>
          <w:tab w:val="num" w:pos="360"/>
        </w:tabs>
        <w:autoSpaceDE w:val="0"/>
        <w:autoSpaceDN w:val="0"/>
        <w:adjustRightInd w:val="0"/>
        <w:ind w:left="360"/>
        <w:jc w:val="both"/>
        <w:rPr>
          <w:color w:val="000000"/>
        </w:rPr>
      </w:pPr>
      <w:r w:rsidRPr="000F70A0">
        <w:rPr>
          <w:color w:val="000000"/>
        </w:rPr>
        <w:t>Gli eventi contabili sono rilevati nel sistema contabile una sola volta, producendo le opportune registrazioni per la contabilità generale, per la gestione inventariale patrimoniale e per la contabilità analitica, nonché, se istituita, per la contabilità di magazzino.</w:t>
      </w:r>
    </w:p>
    <w:p w:rsidR="007A5ECC" w:rsidRDefault="007A5ECC" w:rsidP="00503AD7">
      <w:pPr>
        <w:autoSpaceDE w:val="0"/>
        <w:autoSpaceDN w:val="0"/>
        <w:adjustRightInd w:val="0"/>
        <w:jc w:val="both"/>
        <w:rPr>
          <w:b/>
        </w:rPr>
      </w:pPr>
    </w:p>
    <w:p w:rsidR="007A5ECC" w:rsidRDefault="007A5ECC" w:rsidP="00503AD7">
      <w:pPr>
        <w:autoSpaceDE w:val="0"/>
        <w:autoSpaceDN w:val="0"/>
        <w:adjustRightInd w:val="0"/>
        <w:jc w:val="both"/>
        <w:rPr>
          <w:b/>
        </w:rPr>
      </w:pPr>
      <w:r w:rsidRPr="000F70A0">
        <w:rPr>
          <w:b/>
        </w:rPr>
        <w:t>Art. 29 – Responsabilità</w:t>
      </w:r>
    </w:p>
    <w:p w:rsidR="007A5ECC" w:rsidRPr="000F70A0" w:rsidRDefault="007A5ECC" w:rsidP="00503AD7">
      <w:pPr>
        <w:autoSpaceDE w:val="0"/>
        <w:autoSpaceDN w:val="0"/>
        <w:adjustRightInd w:val="0"/>
        <w:jc w:val="both"/>
        <w:rPr>
          <w:b/>
        </w:rPr>
      </w:pPr>
    </w:p>
    <w:p w:rsidR="007A5ECC" w:rsidRPr="00A01248" w:rsidRDefault="007A5ECC" w:rsidP="00503AD7">
      <w:pPr>
        <w:pStyle w:val="Default"/>
        <w:widowControl/>
        <w:numPr>
          <w:ilvl w:val="1"/>
          <w:numId w:val="26"/>
        </w:numPr>
        <w:tabs>
          <w:tab w:val="left" w:pos="360"/>
        </w:tabs>
        <w:spacing w:line="240" w:lineRule="auto"/>
        <w:ind w:hanging="2340"/>
        <w:textAlignment w:val="auto"/>
      </w:pPr>
      <w:r w:rsidRPr="00A01248">
        <w:t>Il Centro di Gestione è responsabile:</w:t>
      </w:r>
    </w:p>
    <w:p w:rsidR="007A5ECC" w:rsidRPr="00A01248" w:rsidRDefault="007A5ECC" w:rsidP="00503AD7">
      <w:pPr>
        <w:pStyle w:val="Default"/>
        <w:widowControl/>
        <w:numPr>
          <w:ilvl w:val="0"/>
          <w:numId w:val="43"/>
        </w:numPr>
        <w:tabs>
          <w:tab w:val="clear" w:pos="1440"/>
          <w:tab w:val="num" w:pos="720"/>
        </w:tabs>
        <w:spacing w:line="240" w:lineRule="auto"/>
        <w:ind w:left="720"/>
        <w:textAlignment w:val="auto"/>
      </w:pPr>
      <w:proofErr w:type="gramStart"/>
      <w:r w:rsidRPr="00A01248">
        <w:t>per</w:t>
      </w:r>
      <w:proofErr w:type="gramEnd"/>
      <w:r w:rsidRPr="00A01248">
        <w:t xml:space="preserve"> il ciclo attivo, del processo di acquisizione delle risorse e relativa conferma del budget. A tal fine, certifica la formale assegnazione del contributo in ambito istituzionale o l’effettivo svolgimento della prestazione da parte della struttura in ambito commerciale;</w:t>
      </w:r>
    </w:p>
    <w:p w:rsidR="007A5ECC" w:rsidRPr="00A01248" w:rsidRDefault="007A5ECC" w:rsidP="00503AD7">
      <w:pPr>
        <w:pStyle w:val="Default"/>
        <w:widowControl/>
        <w:numPr>
          <w:ilvl w:val="0"/>
          <w:numId w:val="43"/>
        </w:numPr>
        <w:tabs>
          <w:tab w:val="clear" w:pos="1440"/>
          <w:tab w:val="num" w:pos="720"/>
        </w:tabs>
        <w:spacing w:line="240" w:lineRule="auto"/>
        <w:ind w:left="720"/>
        <w:textAlignment w:val="auto"/>
      </w:pPr>
      <w:proofErr w:type="gramStart"/>
      <w:r w:rsidRPr="00A01248">
        <w:t>per</w:t>
      </w:r>
      <w:proofErr w:type="gramEnd"/>
      <w:r w:rsidRPr="00A01248">
        <w:t xml:space="preserve"> il ciclo passivo, del processo di realizzazione dei lavori e dell’acquisizione di beni e servizi, inclusa la relativa gestione del budget. E’ pertanto responsabile della certificazione relativa alla consegna, della congruità, del collaudo ove previsto, oltre che degli altri adempimenti amministrativi.</w:t>
      </w:r>
    </w:p>
    <w:p w:rsidR="007A5ECC" w:rsidRPr="00A01248" w:rsidRDefault="007A5ECC" w:rsidP="00503AD7">
      <w:pPr>
        <w:pStyle w:val="Default"/>
        <w:widowControl/>
        <w:numPr>
          <w:ilvl w:val="0"/>
          <w:numId w:val="44"/>
        </w:numPr>
        <w:tabs>
          <w:tab w:val="clear" w:pos="1440"/>
          <w:tab w:val="num" w:pos="360"/>
        </w:tabs>
        <w:spacing w:line="240" w:lineRule="auto"/>
        <w:ind w:left="360"/>
        <w:textAlignment w:val="auto"/>
      </w:pPr>
      <w:r w:rsidRPr="00A01248">
        <w:lastRenderedPageBreak/>
        <w:t>Le Struttura dirigenziale cui afferisce il servizio di ragioneria è altresì responsabile della predisposizione dei documenti contabili pubblici di sintesi, del monitoraggio della gestione contabile e della trasmissione all’istituto cassiere dei relativi ordinativi.</w:t>
      </w:r>
    </w:p>
    <w:p w:rsidR="007A5ECC" w:rsidRPr="00A01248" w:rsidRDefault="007A5ECC" w:rsidP="00503AD7">
      <w:pPr>
        <w:pStyle w:val="Default"/>
        <w:widowControl/>
        <w:spacing w:line="240" w:lineRule="auto"/>
        <w:textAlignment w:val="auto"/>
      </w:pPr>
    </w:p>
    <w:p w:rsidR="007A5ECC" w:rsidRDefault="007A5ECC" w:rsidP="00503AD7">
      <w:pPr>
        <w:autoSpaceDE w:val="0"/>
        <w:autoSpaceDN w:val="0"/>
        <w:adjustRightInd w:val="0"/>
        <w:jc w:val="both"/>
        <w:rPr>
          <w:b/>
          <w:bCs/>
          <w:color w:val="000000"/>
        </w:rPr>
      </w:pPr>
      <w:r w:rsidRPr="000F70A0">
        <w:rPr>
          <w:b/>
          <w:bCs/>
          <w:color w:val="000000"/>
        </w:rPr>
        <w:t>Art. 30 – Gestione della liquidità</w:t>
      </w:r>
    </w:p>
    <w:p w:rsidR="007A5ECC" w:rsidRPr="000F70A0" w:rsidRDefault="007A5ECC" w:rsidP="00503AD7">
      <w:pPr>
        <w:autoSpaceDE w:val="0"/>
        <w:autoSpaceDN w:val="0"/>
        <w:adjustRightInd w:val="0"/>
        <w:jc w:val="both"/>
        <w:rPr>
          <w:b/>
          <w:bCs/>
          <w:color w:val="000000"/>
        </w:rPr>
      </w:pPr>
    </w:p>
    <w:p w:rsidR="007A5ECC" w:rsidRPr="000F70A0" w:rsidRDefault="007A5ECC" w:rsidP="00503AD7">
      <w:pPr>
        <w:numPr>
          <w:ilvl w:val="0"/>
          <w:numId w:val="27"/>
        </w:numPr>
        <w:tabs>
          <w:tab w:val="clear" w:pos="2340"/>
          <w:tab w:val="num" w:pos="360"/>
        </w:tabs>
        <w:autoSpaceDE w:val="0"/>
        <w:autoSpaceDN w:val="0"/>
        <w:adjustRightInd w:val="0"/>
        <w:ind w:left="360"/>
        <w:jc w:val="both"/>
        <w:rPr>
          <w:color w:val="000000"/>
        </w:rPr>
      </w:pPr>
      <w:r w:rsidRPr="000F70A0">
        <w:rPr>
          <w:color w:val="000000"/>
        </w:rPr>
        <w:t xml:space="preserve">La Struttura dirigenziale centrale cui afferisce il servizio ragioneria è responsabile della programmazione e della gestione dei flussi di cassa dell’intero Ateneo, nel rispetto comunque della programmazione delle Strutture dirigenziali e dei </w:t>
      </w:r>
      <w:r>
        <w:rPr>
          <w:color w:val="000000"/>
        </w:rPr>
        <w:t xml:space="preserve">Dipartimenti e degli altri </w:t>
      </w:r>
      <w:r w:rsidRPr="000F70A0">
        <w:rPr>
          <w:color w:val="000000"/>
        </w:rPr>
        <w:t xml:space="preserve">Centri </w:t>
      </w:r>
      <w:r>
        <w:rPr>
          <w:color w:val="000000"/>
        </w:rPr>
        <w:t xml:space="preserve">autonomi </w:t>
      </w:r>
      <w:r w:rsidRPr="000F70A0">
        <w:rPr>
          <w:color w:val="000000"/>
        </w:rPr>
        <w:t>di Gestione, ai sensi delle norme vigenti.</w:t>
      </w:r>
    </w:p>
    <w:p w:rsidR="007A5ECC" w:rsidRPr="000F70A0" w:rsidRDefault="007A5ECC" w:rsidP="00503AD7">
      <w:pPr>
        <w:numPr>
          <w:ilvl w:val="0"/>
          <w:numId w:val="27"/>
        </w:numPr>
        <w:tabs>
          <w:tab w:val="clear" w:pos="2340"/>
          <w:tab w:val="num" w:pos="360"/>
        </w:tabs>
        <w:autoSpaceDE w:val="0"/>
        <w:autoSpaceDN w:val="0"/>
        <w:adjustRightInd w:val="0"/>
        <w:ind w:left="360"/>
        <w:jc w:val="both"/>
        <w:rPr>
          <w:color w:val="000000"/>
        </w:rPr>
      </w:pPr>
      <w:r w:rsidRPr="000F70A0">
        <w:rPr>
          <w:color w:val="000000"/>
        </w:rPr>
        <w:t xml:space="preserve">A ciascun </w:t>
      </w:r>
      <w:r>
        <w:rPr>
          <w:color w:val="000000"/>
        </w:rPr>
        <w:t xml:space="preserve">Dipartimento e </w:t>
      </w:r>
      <w:r w:rsidRPr="000F70A0">
        <w:rPr>
          <w:color w:val="000000"/>
        </w:rPr>
        <w:t xml:space="preserve">Centro </w:t>
      </w:r>
      <w:r>
        <w:rPr>
          <w:color w:val="000000"/>
        </w:rPr>
        <w:t xml:space="preserve">autonomo </w:t>
      </w:r>
      <w:r w:rsidRPr="000F70A0">
        <w:rPr>
          <w:color w:val="000000"/>
        </w:rPr>
        <w:t>di Gestione è attribuita, sulla base del limite di fabbisogno ministeriale determinato a favore dell’Ateneo annualmente, un’assegnazione di liquidità.</w:t>
      </w:r>
    </w:p>
    <w:p w:rsidR="007A5ECC" w:rsidRPr="000F70A0" w:rsidRDefault="007A5ECC" w:rsidP="00503AD7">
      <w:pPr>
        <w:numPr>
          <w:ilvl w:val="0"/>
          <w:numId w:val="27"/>
        </w:numPr>
        <w:tabs>
          <w:tab w:val="clear" w:pos="2340"/>
          <w:tab w:val="num" w:pos="360"/>
        </w:tabs>
        <w:autoSpaceDE w:val="0"/>
        <w:autoSpaceDN w:val="0"/>
        <w:adjustRightInd w:val="0"/>
        <w:ind w:left="360"/>
        <w:jc w:val="both"/>
        <w:rPr>
          <w:color w:val="000000"/>
        </w:rPr>
      </w:pPr>
      <w:r w:rsidRPr="000F70A0">
        <w:rPr>
          <w:color w:val="000000"/>
        </w:rPr>
        <w:t>Il servizio di cassa del Politecnico di Bari è affidato, attraverso apposita convenzione, approvata dal Consiglio di Amministrazione, a un Istituto di credito. Per particolari esigenze, il Politecnico può utilizzare conti correnti postali le cui somme devono essere periodicamente trasferite all’istituto cassiere con cadenza quindicinale.</w:t>
      </w:r>
    </w:p>
    <w:p w:rsidR="007A5ECC" w:rsidRPr="000F70A0" w:rsidRDefault="007A5ECC" w:rsidP="00503AD7">
      <w:pPr>
        <w:numPr>
          <w:ilvl w:val="0"/>
          <w:numId w:val="27"/>
        </w:numPr>
        <w:tabs>
          <w:tab w:val="clear" w:pos="2340"/>
          <w:tab w:val="num" w:pos="360"/>
        </w:tabs>
        <w:autoSpaceDE w:val="0"/>
        <w:autoSpaceDN w:val="0"/>
        <w:adjustRightInd w:val="0"/>
        <w:ind w:left="360"/>
        <w:jc w:val="both"/>
        <w:rPr>
          <w:color w:val="000000"/>
        </w:rPr>
      </w:pPr>
      <w:r w:rsidRPr="000F70A0">
        <w:rPr>
          <w:color w:val="000000"/>
        </w:rPr>
        <w:t>L’economo è dotato di un fondo cassa per il pagamento di piccole spese idoneamente documentate, che viene assegnato e reso disponibile per la gestione all’inizio di ciascun esercizio. L’economo predispone un prospetto dell’utilizzo dello stesso con allegati i giustificativi di spesa, che vengono puntualmente registrati in contabilità. Contestualmente, il fondo viene reintegrato. Per le modalità operative di funzionamento di tale fondo, si rimanda ad apposito regolamento.</w:t>
      </w:r>
    </w:p>
    <w:p w:rsidR="007A5ECC" w:rsidRDefault="007A5ECC" w:rsidP="00503AD7">
      <w:pPr>
        <w:autoSpaceDE w:val="0"/>
        <w:autoSpaceDN w:val="0"/>
        <w:adjustRightInd w:val="0"/>
        <w:jc w:val="both"/>
        <w:rPr>
          <w:b/>
          <w:bCs/>
          <w:color w:val="000000"/>
        </w:rPr>
      </w:pPr>
    </w:p>
    <w:p w:rsidR="007A5ECC" w:rsidRDefault="007A5ECC" w:rsidP="00503AD7">
      <w:pPr>
        <w:autoSpaceDE w:val="0"/>
        <w:autoSpaceDN w:val="0"/>
        <w:adjustRightInd w:val="0"/>
        <w:jc w:val="both"/>
        <w:rPr>
          <w:b/>
          <w:bCs/>
          <w:color w:val="000000"/>
        </w:rPr>
      </w:pPr>
      <w:r w:rsidRPr="000F70A0">
        <w:rPr>
          <w:b/>
          <w:bCs/>
          <w:color w:val="000000"/>
        </w:rPr>
        <w:t>Art. 31 – Carte di credito intestate all’Ateneo</w:t>
      </w:r>
    </w:p>
    <w:p w:rsidR="007A5ECC" w:rsidRPr="000F70A0" w:rsidRDefault="007A5ECC" w:rsidP="00503AD7">
      <w:pPr>
        <w:autoSpaceDE w:val="0"/>
        <w:autoSpaceDN w:val="0"/>
        <w:adjustRightInd w:val="0"/>
        <w:jc w:val="both"/>
        <w:rPr>
          <w:b/>
          <w:bCs/>
          <w:color w:val="000000"/>
        </w:rPr>
      </w:pPr>
    </w:p>
    <w:p w:rsidR="007A5ECC" w:rsidRPr="000F70A0" w:rsidRDefault="007A5ECC" w:rsidP="00503AD7">
      <w:pPr>
        <w:numPr>
          <w:ilvl w:val="0"/>
          <w:numId w:val="28"/>
        </w:numPr>
        <w:tabs>
          <w:tab w:val="clear" w:pos="2340"/>
          <w:tab w:val="num" w:pos="360"/>
        </w:tabs>
        <w:autoSpaceDE w:val="0"/>
        <w:autoSpaceDN w:val="0"/>
        <w:adjustRightInd w:val="0"/>
        <w:ind w:left="360"/>
        <w:jc w:val="both"/>
        <w:rPr>
          <w:b/>
          <w:bCs/>
          <w:color w:val="000000"/>
        </w:rPr>
      </w:pPr>
      <w:r w:rsidRPr="000F70A0">
        <w:rPr>
          <w:color w:val="000000"/>
        </w:rPr>
        <w:t>I pagamenti possono essere effettuati anche mediante carta di credito, nel rispetto di apposito regolamento.</w:t>
      </w:r>
    </w:p>
    <w:p w:rsidR="007A5ECC" w:rsidRDefault="007A5ECC" w:rsidP="00503AD7">
      <w:pPr>
        <w:autoSpaceDE w:val="0"/>
        <w:autoSpaceDN w:val="0"/>
        <w:adjustRightInd w:val="0"/>
        <w:jc w:val="both"/>
        <w:rPr>
          <w:b/>
          <w:bCs/>
          <w:color w:val="000000"/>
        </w:rPr>
      </w:pPr>
    </w:p>
    <w:p w:rsidR="007A5ECC" w:rsidRDefault="007A5ECC" w:rsidP="00503AD7">
      <w:pPr>
        <w:autoSpaceDE w:val="0"/>
        <w:autoSpaceDN w:val="0"/>
        <w:adjustRightInd w:val="0"/>
        <w:jc w:val="both"/>
        <w:rPr>
          <w:b/>
          <w:bCs/>
          <w:color w:val="000000"/>
        </w:rPr>
      </w:pPr>
      <w:r w:rsidRPr="000F70A0">
        <w:rPr>
          <w:b/>
          <w:bCs/>
          <w:color w:val="000000"/>
        </w:rPr>
        <w:t>Art. 32 – Analisi della gestione</w:t>
      </w:r>
    </w:p>
    <w:p w:rsidR="007A5ECC" w:rsidRPr="000F70A0" w:rsidRDefault="007A5ECC" w:rsidP="00503AD7">
      <w:pPr>
        <w:autoSpaceDE w:val="0"/>
        <w:autoSpaceDN w:val="0"/>
        <w:adjustRightInd w:val="0"/>
        <w:jc w:val="both"/>
        <w:rPr>
          <w:b/>
          <w:bCs/>
          <w:color w:val="000000"/>
        </w:rPr>
      </w:pPr>
    </w:p>
    <w:p w:rsidR="007A5ECC" w:rsidRPr="000F70A0" w:rsidRDefault="007A5ECC" w:rsidP="00503AD7">
      <w:pPr>
        <w:numPr>
          <w:ilvl w:val="0"/>
          <w:numId w:val="29"/>
        </w:numPr>
        <w:tabs>
          <w:tab w:val="clear" w:pos="2340"/>
          <w:tab w:val="num" w:pos="360"/>
        </w:tabs>
        <w:autoSpaceDE w:val="0"/>
        <w:autoSpaceDN w:val="0"/>
        <w:adjustRightInd w:val="0"/>
        <w:ind w:left="360"/>
        <w:jc w:val="both"/>
        <w:rPr>
          <w:color w:val="000000"/>
        </w:rPr>
      </w:pPr>
      <w:r w:rsidRPr="000F70A0">
        <w:rPr>
          <w:color w:val="000000"/>
        </w:rPr>
        <w:t>L’analisi della gestione si articola in controlli annuali e infra-annuali</w:t>
      </w:r>
      <w:r w:rsidRPr="000F70A0">
        <w:rPr>
          <w:b/>
          <w:bCs/>
          <w:color w:val="000000"/>
        </w:rPr>
        <w:t xml:space="preserve"> </w:t>
      </w:r>
      <w:r w:rsidRPr="000F70A0">
        <w:rPr>
          <w:color w:val="000000"/>
        </w:rPr>
        <w:t>svolti dalla Struttura responsabile del processo contabile.</w:t>
      </w:r>
    </w:p>
    <w:p w:rsidR="007A5ECC" w:rsidRPr="000F70A0" w:rsidRDefault="007A5ECC" w:rsidP="00503AD7">
      <w:pPr>
        <w:numPr>
          <w:ilvl w:val="0"/>
          <w:numId w:val="29"/>
        </w:numPr>
        <w:tabs>
          <w:tab w:val="clear" w:pos="2340"/>
          <w:tab w:val="num" w:pos="360"/>
        </w:tabs>
        <w:autoSpaceDE w:val="0"/>
        <w:autoSpaceDN w:val="0"/>
        <w:adjustRightInd w:val="0"/>
        <w:ind w:left="360"/>
        <w:jc w:val="both"/>
        <w:rPr>
          <w:color w:val="000000"/>
        </w:rPr>
      </w:pPr>
      <w:r w:rsidRPr="000F70A0">
        <w:rPr>
          <w:color w:val="000000"/>
        </w:rPr>
        <w:t>L’analisi della gestione ha primariamente la finalità di verificare la correttezza di quanto pianificato, la presenza di eventuali scostamenti, consentendo di intervenire tempestivamente sulle criticità gestionali, attraverso l’individuazione e l’attuazione delle opportune azioni correttive.</w:t>
      </w:r>
    </w:p>
    <w:p w:rsidR="007A5ECC" w:rsidRDefault="007A5ECC" w:rsidP="00503AD7">
      <w:pPr>
        <w:autoSpaceDE w:val="0"/>
        <w:autoSpaceDN w:val="0"/>
        <w:adjustRightInd w:val="0"/>
        <w:jc w:val="both"/>
        <w:rPr>
          <w:b/>
          <w:bCs/>
          <w:color w:val="000000"/>
        </w:rPr>
      </w:pPr>
    </w:p>
    <w:p w:rsidR="007A5ECC" w:rsidRDefault="007A5ECC" w:rsidP="00503AD7">
      <w:pPr>
        <w:autoSpaceDE w:val="0"/>
        <w:autoSpaceDN w:val="0"/>
        <w:adjustRightInd w:val="0"/>
        <w:jc w:val="both"/>
        <w:rPr>
          <w:b/>
          <w:bCs/>
          <w:color w:val="000000"/>
        </w:rPr>
      </w:pPr>
    </w:p>
    <w:p w:rsidR="007A5ECC" w:rsidRDefault="007A5ECC" w:rsidP="00503AD7">
      <w:pPr>
        <w:autoSpaceDE w:val="0"/>
        <w:autoSpaceDN w:val="0"/>
        <w:adjustRightInd w:val="0"/>
        <w:jc w:val="both"/>
        <w:rPr>
          <w:b/>
          <w:bCs/>
          <w:color w:val="000000"/>
        </w:rPr>
      </w:pPr>
      <w:r w:rsidRPr="000F70A0">
        <w:rPr>
          <w:b/>
          <w:bCs/>
          <w:color w:val="000000"/>
        </w:rPr>
        <w:t>Art. 33 – Verifica periodica di budget</w:t>
      </w:r>
    </w:p>
    <w:p w:rsidR="007A5ECC" w:rsidRPr="000F70A0" w:rsidRDefault="007A5ECC" w:rsidP="00503AD7">
      <w:pPr>
        <w:autoSpaceDE w:val="0"/>
        <w:autoSpaceDN w:val="0"/>
        <w:adjustRightInd w:val="0"/>
        <w:jc w:val="both"/>
        <w:rPr>
          <w:color w:val="000000"/>
        </w:rPr>
      </w:pPr>
    </w:p>
    <w:p w:rsidR="007A5ECC" w:rsidRPr="000F70A0" w:rsidRDefault="007A5ECC" w:rsidP="00503AD7">
      <w:pPr>
        <w:numPr>
          <w:ilvl w:val="0"/>
          <w:numId w:val="45"/>
        </w:numPr>
        <w:tabs>
          <w:tab w:val="clear" w:pos="2340"/>
          <w:tab w:val="num" w:pos="360"/>
        </w:tabs>
        <w:autoSpaceDE w:val="0"/>
        <w:autoSpaceDN w:val="0"/>
        <w:adjustRightInd w:val="0"/>
        <w:ind w:left="360"/>
        <w:jc w:val="both"/>
        <w:rPr>
          <w:color w:val="000000"/>
        </w:rPr>
      </w:pPr>
      <w:r w:rsidRPr="000F70A0">
        <w:rPr>
          <w:color w:val="000000"/>
        </w:rPr>
        <w:t>Anche a seguito delle analisi di cui all’art. 32, la Struttura dirigenziale centrale responsabile del processo contabile, periodicamente e con cadenza almeno quadrimestrale, verifica la congruenza tra il budget assegnato, il grado di realizzazione di costi, investimenti e ricavi previsti.</w:t>
      </w:r>
    </w:p>
    <w:p w:rsidR="007A5ECC" w:rsidRPr="000F70A0" w:rsidRDefault="007A5ECC" w:rsidP="00503AD7">
      <w:pPr>
        <w:numPr>
          <w:ilvl w:val="0"/>
          <w:numId w:val="45"/>
        </w:numPr>
        <w:tabs>
          <w:tab w:val="clear" w:pos="2340"/>
          <w:tab w:val="num" w:pos="360"/>
        </w:tabs>
        <w:autoSpaceDE w:val="0"/>
        <w:autoSpaceDN w:val="0"/>
        <w:adjustRightInd w:val="0"/>
        <w:ind w:left="360"/>
        <w:jc w:val="both"/>
        <w:rPr>
          <w:color w:val="000000"/>
        </w:rPr>
      </w:pPr>
      <w:r w:rsidRPr="000F70A0">
        <w:rPr>
          <w:color w:val="000000"/>
        </w:rPr>
        <w:t>Tali verifiche possono determinare l’assunzione di opportune azioni correttive, quali una revisione generale del budget ovvero opportuni accantonamenti nel caso si manifestino situazioni di presunta criticità rispetto a crediti già registrati e i relativi fondi rischi non siano valutati sufficientemente capienti.</w:t>
      </w:r>
    </w:p>
    <w:p w:rsidR="007A5ECC" w:rsidRPr="000F70A0" w:rsidRDefault="007A5ECC" w:rsidP="00503AD7">
      <w:pPr>
        <w:numPr>
          <w:ilvl w:val="0"/>
          <w:numId w:val="45"/>
        </w:numPr>
        <w:tabs>
          <w:tab w:val="clear" w:pos="2340"/>
          <w:tab w:val="num" w:pos="360"/>
        </w:tabs>
        <w:autoSpaceDE w:val="0"/>
        <w:autoSpaceDN w:val="0"/>
        <w:adjustRightInd w:val="0"/>
        <w:ind w:left="360"/>
        <w:jc w:val="both"/>
        <w:rPr>
          <w:color w:val="000000"/>
        </w:rPr>
      </w:pPr>
      <w:r w:rsidRPr="000F70A0">
        <w:rPr>
          <w:color w:val="000000"/>
        </w:rPr>
        <w:lastRenderedPageBreak/>
        <w:t>Per le procedure di dettaglio, si rinvia al Manuale per il Controllo di Gestione.</w:t>
      </w:r>
    </w:p>
    <w:p w:rsidR="007A5ECC" w:rsidRDefault="007A5ECC" w:rsidP="00503AD7">
      <w:pPr>
        <w:autoSpaceDE w:val="0"/>
        <w:autoSpaceDN w:val="0"/>
        <w:adjustRightInd w:val="0"/>
        <w:jc w:val="center"/>
        <w:rPr>
          <w:bCs/>
          <w:i/>
          <w:iCs/>
          <w:color w:val="000000"/>
        </w:rPr>
      </w:pPr>
    </w:p>
    <w:p w:rsidR="007A5ECC" w:rsidRPr="00503AD7" w:rsidRDefault="007A5ECC" w:rsidP="00503AD7">
      <w:pPr>
        <w:autoSpaceDE w:val="0"/>
        <w:autoSpaceDN w:val="0"/>
        <w:adjustRightInd w:val="0"/>
        <w:jc w:val="center"/>
        <w:rPr>
          <w:b/>
          <w:bCs/>
          <w:i/>
        </w:rPr>
      </w:pPr>
      <w:r w:rsidRPr="00503AD7">
        <w:rPr>
          <w:b/>
          <w:bCs/>
          <w:i/>
          <w:iCs/>
          <w:color w:val="000000"/>
        </w:rPr>
        <w:t xml:space="preserve">Paragrafo III </w:t>
      </w:r>
      <w:r w:rsidRPr="00503AD7">
        <w:rPr>
          <w:b/>
          <w:bCs/>
          <w:color w:val="000000"/>
        </w:rPr>
        <w:t xml:space="preserve">– </w:t>
      </w:r>
      <w:r w:rsidRPr="00503AD7">
        <w:rPr>
          <w:b/>
          <w:bCs/>
          <w:i/>
        </w:rPr>
        <w:t>Chiusure e Aperture Contabili</w:t>
      </w:r>
    </w:p>
    <w:p w:rsidR="007A5ECC" w:rsidRDefault="007A5ECC" w:rsidP="00503AD7">
      <w:pPr>
        <w:pStyle w:val="Default"/>
        <w:spacing w:line="240" w:lineRule="auto"/>
        <w:rPr>
          <w:b/>
          <w:bCs/>
          <w:sz w:val="22"/>
          <w:szCs w:val="22"/>
        </w:rPr>
      </w:pPr>
    </w:p>
    <w:p w:rsidR="007A5ECC" w:rsidRPr="00A01248" w:rsidRDefault="007A5ECC" w:rsidP="00503AD7">
      <w:pPr>
        <w:pStyle w:val="Default"/>
        <w:spacing w:line="240" w:lineRule="auto"/>
        <w:rPr>
          <w:b/>
          <w:bCs/>
        </w:rPr>
      </w:pPr>
      <w:r w:rsidRPr="00A01248">
        <w:rPr>
          <w:b/>
          <w:bCs/>
        </w:rPr>
        <w:t xml:space="preserve">Art. 34 – Il processo di chiusura contabile </w:t>
      </w:r>
    </w:p>
    <w:p w:rsidR="007A5ECC" w:rsidRPr="00A01248" w:rsidRDefault="007A5ECC" w:rsidP="00503AD7">
      <w:pPr>
        <w:pStyle w:val="Default"/>
        <w:spacing w:line="240" w:lineRule="auto"/>
      </w:pPr>
    </w:p>
    <w:p w:rsidR="007A5ECC" w:rsidRPr="00A01248" w:rsidRDefault="007A5ECC" w:rsidP="00503AD7">
      <w:pPr>
        <w:pStyle w:val="Default"/>
        <w:widowControl/>
        <w:numPr>
          <w:ilvl w:val="0"/>
          <w:numId w:val="46"/>
        </w:numPr>
        <w:tabs>
          <w:tab w:val="clear" w:pos="2340"/>
          <w:tab w:val="left" w:pos="360"/>
        </w:tabs>
        <w:spacing w:line="240" w:lineRule="auto"/>
        <w:ind w:left="360"/>
        <w:textAlignment w:val="auto"/>
      </w:pPr>
      <w:r w:rsidRPr="00A01248">
        <w:t>Il processo di chiusura contabile ha lo scopo di determinare i valori da inserire a consuntivo nei documenti contabili pubblici di sintesi riguardanti l’Ateneo nel suo complesso.</w:t>
      </w:r>
    </w:p>
    <w:p w:rsidR="007A5ECC" w:rsidRPr="00A01248" w:rsidRDefault="007A5ECC" w:rsidP="00503AD7">
      <w:pPr>
        <w:pStyle w:val="Default"/>
        <w:widowControl/>
        <w:numPr>
          <w:ilvl w:val="0"/>
          <w:numId w:val="46"/>
        </w:numPr>
        <w:tabs>
          <w:tab w:val="clear" w:pos="2340"/>
          <w:tab w:val="left" w:pos="360"/>
        </w:tabs>
        <w:spacing w:line="240" w:lineRule="auto"/>
        <w:ind w:left="360"/>
        <w:textAlignment w:val="auto"/>
      </w:pPr>
      <w:r w:rsidRPr="00A01248">
        <w:t>I documenti consuntivi di Ateneo hanno valenza informativa sia interna che esterna e costituiscono il Bilancio Unico di Ateneo d’esercizio.</w:t>
      </w:r>
    </w:p>
    <w:p w:rsidR="007A5ECC" w:rsidRPr="00A01248" w:rsidRDefault="007A5ECC" w:rsidP="00503AD7">
      <w:pPr>
        <w:pStyle w:val="Default"/>
        <w:widowControl/>
        <w:numPr>
          <w:ilvl w:val="0"/>
          <w:numId w:val="46"/>
        </w:numPr>
        <w:tabs>
          <w:tab w:val="clear" w:pos="2340"/>
          <w:tab w:val="left" w:pos="360"/>
        </w:tabs>
        <w:spacing w:line="240" w:lineRule="auto"/>
        <w:ind w:left="360"/>
        <w:textAlignment w:val="auto"/>
      </w:pPr>
      <w:r w:rsidRPr="00A01248">
        <w:t>Il processo di consuntivazione si realizza in modo completo al termine dell’esercizio.</w:t>
      </w:r>
    </w:p>
    <w:p w:rsidR="007A5ECC" w:rsidRPr="00A01248" w:rsidRDefault="007A5ECC" w:rsidP="00503AD7">
      <w:pPr>
        <w:pStyle w:val="Default"/>
        <w:spacing w:line="240" w:lineRule="auto"/>
        <w:rPr>
          <w:b/>
          <w:bCs/>
        </w:rPr>
      </w:pPr>
    </w:p>
    <w:p w:rsidR="007A5ECC" w:rsidRPr="00A01248" w:rsidRDefault="007A5ECC" w:rsidP="00503AD7">
      <w:pPr>
        <w:pStyle w:val="Default"/>
        <w:spacing w:line="240" w:lineRule="auto"/>
        <w:rPr>
          <w:b/>
          <w:bCs/>
        </w:rPr>
      </w:pPr>
      <w:r w:rsidRPr="00A01248">
        <w:rPr>
          <w:b/>
          <w:bCs/>
        </w:rPr>
        <w:t xml:space="preserve">Art. 35 – Registrazioni contabili di chiusura </w:t>
      </w:r>
    </w:p>
    <w:p w:rsidR="007A5ECC" w:rsidRPr="00A01248" w:rsidRDefault="007A5ECC" w:rsidP="00503AD7">
      <w:pPr>
        <w:pStyle w:val="Default"/>
        <w:spacing w:line="240" w:lineRule="auto"/>
      </w:pPr>
    </w:p>
    <w:p w:rsidR="007A5ECC" w:rsidRPr="00A01248" w:rsidRDefault="007A5ECC" w:rsidP="00503AD7">
      <w:pPr>
        <w:pStyle w:val="Default"/>
        <w:widowControl/>
        <w:numPr>
          <w:ilvl w:val="0"/>
          <w:numId w:val="47"/>
        </w:numPr>
        <w:tabs>
          <w:tab w:val="left" w:pos="360"/>
          <w:tab w:val="num" w:pos="720"/>
        </w:tabs>
        <w:spacing w:line="240" w:lineRule="auto"/>
        <w:ind w:hanging="2340"/>
        <w:textAlignment w:val="auto"/>
      </w:pPr>
      <w:r w:rsidRPr="00A01248">
        <w:t>Le scritture contabili di chiusura si suddividono in:</w:t>
      </w:r>
    </w:p>
    <w:p w:rsidR="007A5ECC" w:rsidRPr="00A01248" w:rsidRDefault="007A5ECC" w:rsidP="00503AD7">
      <w:pPr>
        <w:pStyle w:val="Default"/>
        <w:widowControl/>
        <w:numPr>
          <w:ilvl w:val="1"/>
          <w:numId w:val="47"/>
        </w:numPr>
        <w:tabs>
          <w:tab w:val="clear" w:pos="1440"/>
          <w:tab w:val="left" w:pos="284"/>
          <w:tab w:val="left" w:pos="720"/>
        </w:tabs>
        <w:spacing w:line="240" w:lineRule="auto"/>
        <w:ind w:hanging="1080"/>
        <w:textAlignment w:val="auto"/>
      </w:pPr>
      <w:proofErr w:type="gramStart"/>
      <w:r w:rsidRPr="00A01248">
        <w:t>scritture</w:t>
      </w:r>
      <w:proofErr w:type="gramEnd"/>
      <w:r w:rsidRPr="00A01248">
        <w:t xml:space="preserve"> contabili di assestamento e rettifica;</w:t>
      </w:r>
    </w:p>
    <w:p w:rsidR="007A5ECC" w:rsidRPr="00A01248" w:rsidRDefault="007A5ECC" w:rsidP="00503AD7">
      <w:pPr>
        <w:pStyle w:val="Default"/>
        <w:widowControl/>
        <w:numPr>
          <w:ilvl w:val="1"/>
          <w:numId w:val="47"/>
        </w:numPr>
        <w:tabs>
          <w:tab w:val="clear" w:pos="1440"/>
          <w:tab w:val="left" w:pos="284"/>
          <w:tab w:val="left" w:pos="720"/>
        </w:tabs>
        <w:spacing w:line="240" w:lineRule="auto"/>
        <w:ind w:hanging="1080"/>
        <w:textAlignment w:val="auto"/>
      </w:pPr>
      <w:proofErr w:type="gramStart"/>
      <w:r w:rsidRPr="00A01248">
        <w:t>scritture</w:t>
      </w:r>
      <w:proofErr w:type="gramEnd"/>
      <w:r w:rsidRPr="00A01248">
        <w:t xml:space="preserve"> finali di chiusura.</w:t>
      </w:r>
    </w:p>
    <w:p w:rsidR="007A5ECC" w:rsidRPr="00A01248" w:rsidRDefault="007A5ECC" w:rsidP="00503AD7">
      <w:pPr>
        <w:pStyle w:val="Default"/>
        <w:widowControl/>
        <w:numPr>
          <w:ilvl w:val="0"/>
          <w:numId w:val="48"/>
        </w:numPr>
        <w:tabs>
          <w:tab w:val="clear" w:pos="1440"/>
          <w:tab w:val="num" w:pos="360"/>
          <w:tab w:val="num" w:pos="1620"/>
        </w:tabs>
        <w:spacing w:line="240" w:lineRule="auto"/>
        <w:ind w:left="360"/>
        <w:textAlignment w:val="auto"/>
      </w:pPr>
      <w:r w:rsidRPr="00A01248">
        <w:t>Le scritture contabili di assestamento sono effettuate alla chiusura del periodo contabile, al fine di determinare la competenza economica dei componenti positivi e negativi di reddito e, contemporaneamente, determinare gli elementi del patrimonio di funzionamento. Si distinguono in:</w:t>
      </w:r>
    </w:p>
    <w:p w:rsidR="007A5ECC" w:rsidRPr="00A01248" w:rsidRDefault="007A5ECC" w:rsidP="00503AD7">
      <w:pPr>
        <w:pStyle w:val="Default"/>
        <w:widowControl/>
        <w:numPr>
          <w:ilvl w:val="1"/>
          <w:numId w:val="48"/>
        </w:numPr>
        <w:tabs>
          <w:tab w:val="clear" w:pos="1440"/>
        </w:tabs>
        <w:spacing w:line="240" w:lineRule="auto"/>
        <w:ind w:left="720"/>
        <w:textAlignment w:val="auto"/>
      </w:pPr>
      <w:proofErr w:type="gramStart"/>
      <w:r w:rsidRPr="00A01248">
        <w:t>scritture</w:t>
      </w:r>
      <w:proofErr w:type="gramEnd"/>
      <w:r w:rsidRPr="00A01248">
        <w:t xml:space="preserve"> di ammortamento e di svalutazione: per rilevare la quota di ammortamento delle immobilizzazioni e l’eventuale svalutazione di elementi patrimoniali attivi;</w:t>
      </w:r>
    </w:p>
    <w:p w:rsidR="007A5ECC" w:rsidRPr="00A01248" w:rsidRDefault="007A5ECC" w:rsidP="00503AD7">
      <w:pPr>
        <w:pStyle w:val="Default"/>
        <w:widowControl/>
        <w:numPr>
          <w:ilvl w:val="1"/>
          <w:numId w:val="48"/>
        </w:numPr>
        <w:tabs>
          <w:tab w:val="clear" w:pos="1440"/>
        </w:tabs>
        <w:spacing w:line="240" w:lineRule="auto"/>
        <w:ind w:left="720"/>
        <w:textAlignment w:val="auto"/>
      </w:pPr>
      <w:proofErr w:type="gramStart"/>
      <w:r w:rsidRPr="00A01248">
        <w:t>scritture</w:t>
      </w:r>
      <w:proofErr w:type="gramEnd"/>
      <w:r w:rsidRPr="00A01248">
        <w:t xml:space="preserve"> di storno: per rinviare agli esercizi futuri, i costi e i ricavi già contabilizzati nell’esercizio, ma di competenza economica in tutto o in parte degli esercizi futuri (a titolo esemplificativo: risconti, rimanenze, capitalizzazione dei costi, altro);</w:t>
      </w:r>
    </w:p>
    <w:p w:rsidR="007A5ECC" w:rsidRPr="00A01248" w:rsidRDefault="007A5ECC" w:rsidP="00503AD7">
      <w:pPr>
        <w:pStyle w:val="Default"/>
        <w:widowControl/>
        <w:numPr>
          <w:ilvl w:val="1"/>
          <w:numId w:val="48"/>
        </w:numPr>
        <w:tabs>
          <w:tab w:val="clear" w:pos="1440"/>
          <w:tab w:val="num" w:pos="720"/>
        </w:tabs>
        <w:spacing w:line="240" w:lineRule="auto"/>
        <w:ind w:left="720"/>
        <w:textAlignment w:val="auto"/>
      </w:pPr>
      <w:proofErr w:type="gramStart"/>
      <w:r w:rsidRPr="00A01248">
        <w:t>scritture</w:t>
      </w:r>
      <w:proofErr w:type="gramEnd"/>
      <w:r w:rsidRPr="00A01248">
        <w:t xml:space="preserve"> di integrazione: per imputare all’esercizio, i costi e i ricavi non ancora contabilizzati, ma di competenza economica in tutto o in parte dell’esercizio relativo al periodo amministrativo in chiusura (a titolo esemplificativo: ratei, fatture da emettere e da ricevere, fondi spese e rischi futuri, t.f.r., altro).</w:t>
      </w:r>
    </w:p>
    <w:p w:rsidR="007A5ECC" w:rsidRPr="00A01248" w:rsidRDefault="007A5ECC" w:rsidP="00503AD7">
      <w:pPr>
        <w:pStyle w:val="Default"/>
        <w:widowControl/>
        <w:numPr>
          <w:ilvl w:val="2"/>
          <w:numId w:val="48"/>
        </w:numPr>
        <w:tabs>
          <w:tab w:val="clear" w:pos="1440"/>
          <w:tab w:val="num" w:pos="360"/>
        </w:tabs>
        <w:spacing w:line="240" w:lineRule="auto"/>
        <w:ind w:left="360"/>
        <w:textAlignment w:val="auto"/>
      </w:pPr>
      <w:r w:rsidRPr="00A01248">
        <w:t>Le scritture finali hanno lo scopo di chiudere i conti e di iscrivere i relativi saldi nei conti riepilogativi di Conto Economico e Stato Patrimoniale.</w:t>
      </w:r>
    </w:p>
    <w:p w:rsidR="007A5ECC" w:rsidRPr="00A01248" w:rsidRDefault="007A5ECC" w:rsidP="00503AD7">
      <w:pPr>
        <w:pStyle w:val="Default"/>
        <w:widowControl/>
        <w:numPr>
          <w:ilvl w:val="2"/>
          <w:numId w:val="48"/>
        </w:numPr>
        <w:tabs>
          <w:tab w:val="clear" w:pos="1440"/>
          <w:tab w:val="num" w:pos="360"/>
        </w:tabs>
        <w:spacing w:line="240" w:lineRule="auto"/>
        <w:ind w:left="360"/>
        <w:textAlignment w:val="auto"/>
      </w:pPr>
      <w:r w:rsidRPr="00A01248">
        <w:t>Il Manuale di Contabilità esplicita e dettaglia i criteri e le modalità di effettuazione delle registrazioni contabili finali di chiusura, da effettuarsi in collaborazione con le unità organizzative nell’ambito della loro responsabilità.</w:t>
      </w:r>
    </w:p>
    <w:p w:rsidR="007A5ECC" w:rsidRPr="00A01248" w:rsidRDefault="007A5ECC" w:rsidP="00503AD7">
      <w:pPr>
        <w:pStyle w:val="Default"/>
        <w:widowControl/>
        <w:numPr>
          <w:ilvl w:val="2"/>
          <w:numId w:val="48"/>
        </w:numPr>
        <w:tabs>
          <w:tab w:val="clear" w:pos="1440"/>
          <w:tab w:val="num" w:pos="360"/>
        </w:tabs>
        <w:spacing w:line="240" w:lineRule="auto"/>
        <w:ind w:left="360"/>
        <w:textAlignment w:val="auto"/>
      </w:pPr>
      <w:r w:rsidRPr="00A01248">
        <w:t>La Nota Integrativa al Bilancio Unico d’Ateneo di esercizio evidenzia e dettaglia i contenuti e i principi di redazione dei documenti contabili pubblici di sintesi.</w:t>
      </w:r>
    </w:p>
    <w:p w:rsidR="007A5ECC" w:rsidRPr="00A01248" w:rsidRDefault="007A5ECC" w:rsidP="00503AD7">
      <w:pPr>
        <w:pStyle w:val="Default"/>
        <w:widowControl/>
        <w:numPr>
          <w:ilvl w:val="2"/>
          <w:numId w:val="48"/>
        </w:numPr>
        <w:tabs>
          <w:tab w:val="clear" w:pos="1440"/>
          <w:tab w:val="num" w:pos="360"/>
        </w:tabs>
        <w:spacing w:line="240" w:lineRule="auto"/>
        <w:ind w:left="360"/>
        <w:textAlignment w:val="auto"/>
      </w:pPr>
      <w:r w:rsidRPr="00A01248">
        <w:t>In sede di chiusura, le disponibilità di budget, non producendo nessuna registrazione in contabilità economico-patrimoniale, vengono azzerate.</w:t>
      </w:r>
    </w:p>
    <w:p w:rsidR="007A5ECC" w:rsidRPr="00A01248" w:rsidRDefault="007A5ECC" w:rsidP="00503AD7">
      <w:pPr>
        <w:pStyle w:val="Default"/>
        <w:spacing w:line="240" w:lineRule="auto"/>
        <w:rPr>
          <w:b/>
          <w:bCs/>
        </w:rPr>
      </w:pPr>
    </w:p>
    <w:p w:rsidR="007A5ECC" w:rsidRPr="00A01248" w:rsidRDefault="007A5ECC" w:rsidP="00503AD7">
      <w:pPr>
        <w:pStyle w:val="Default"/>
        <w:spacing w:line="240" w:lineRule="auto"/>
        <w:rPr>
          <w:b/>
          <w:bCs/>
        </w:rPr>
      </w:pPr>
      <w:r w:rsidRPr="00A01248">
        <w:rPr>
          <w:b/>
          <w:bCs/>
        </w:rPr>
        <w:t xml:space="preserve">Art. 36 – Predisposizione e approvazione dei documenti contabili di sintesi di fine esercizio </w:t>
      </w:r>
    </w:p>
    <w:p w:rsidR="007A5ECC" w:rsidRPr="00A01248" w:rsidRDefault="007A5ECC" w:rsidP="00503AD7">
      <w:pPr>
        <w:pStyle w:val="Default"/>
        <w:spacing w:line="240" w:lineRule="auto"/>
      </w:pPr>
    </w:p>
    <w:p w:rsidR="007A5ECC" w:rsidRPr="00A01248" w:rsidRDefault="007A5ECC" w:rsidP="00503AD7">
      <w:pPr>
        <w:pStyle w:val="Default"/>
        <w:widowControl/>
        <w:numPr>
          <w:ilvl w:val="0"/>
          <w:numId w:val="49"/>
        </w:numPr>
        <w:tabs>
          <w:tab w:val="clear" w:pos="1440"/>
          <w:tab w:val="num" w:pos="360"/>
        </w:tabs>
        <w:spacing w:line="240" w:lineRule="auto"/>
        <w:ind w:left="360"/>
        <w:textAlignment w:val="auto"/>
      </w:pPr>
      <w:r w:rsidRPr="00A01248">
        <w:t>Il Direttore Generale, al completamento delle scritture contabili di chiusura, predispone il Bilancio Unico di Ateneo di esercizio, costituito da: Conto Economico, Stato Patrimoniale, Nota Integrativa, Rendiconto finanziario, Relazione sulla gestione.</w:t>
      </w:r>
    </w:p>
    <w:p w:rsidR="007A5ECC" w:rsidRPr="00A01248" w:rsidRDefault="007A5ECC" w:rsidP="00503AD7">
      <w:pPr>
        <w:pStyle w:val="Default"/>
        <w:widowControl/>
        <w:numPr>
          <w:ilvl w:val="0"/>
          <w:numId w:val="49"/>
        </w:numPr>
        <w:tabs>
          <w:tab w:val="clear" w:pos="1440"/>
          <w:tab w:val="num" w:pos="360"/>
        </w:tabs>
        <w:spacing w:line="240" w:lineRule="auto"/>
        <w:ind w:left="360"/>
        <w:textAlignment w:val="auto"/>
      </w:pPr>
      <w:r w:rsidRPr="00A01248">
        <w:t>Il Direttore Generale, contestualmente alla redazione dei documenti di cui al comma 1, procede a predisporre il Rendiconto Unico di Ateneo, secondo le regole della contabilità finanziaria, conformemente a quanto previsto dalla normativa vigente.</w:t>
      </w:r>
    </w:p>
    <w:p w:rsidR="007A5ECC" w:rsidRPr="00A01248" w:rsidRDefault="007A5ECC" w:rsidP="00503AD7">
      <w:pPr>
        <w:pStyle w:val="Default"/>
        <w:widowControl/>
        <w:numPr>
          <w:ilvl w:val="0"/>
          <w:numId w:val="49"/>
        </w:numPr>
        <w:tabs>
          <w:tab w:val="clear" w:pos="1440"/>
          <w:tab w:val="num" w:pos="360"/>
        </w:tabs>
        <w:spacing w:line="240" w:lineRule="auto"/>
        <w:ind w:left="360"/>
        <w:textAlignment w:val="auto"/>
      </w:pPr>
      <w:r w:rsidRPr="00A01248">
        <w:lastRenderedPageBreak/>
        <w:t>Il Rettore, entro il 30 aprile di ciascun anno, presenta il Bilancio Unico di Ateneo d’esercizio al Consiglio di Amministrazione; esso è accompagnato da una relazione del Collegio dei Revisori dei Conti, che attesta la corrispondenza del documento alle risultanze contabili, e che contiene valutazioni e giudizi sulla regolarità amministrativo-contabile della gestione.</w:t>
      </w:r>
    </w:p>
    <w:p w:rsidR="007A5ECC" w:rsidRPr="00A01248" w:rsidRDefault="007A5ECC" w:rsidP="00503AD7">
      <w:pPr>
        <w:pStyle w:val="Default"/>
        <w:spacing w:line="240" w:lineRule="auto"/>
        <w:rPr>
          <w:b/>
          <w:bCs/>
        </w:rPr>
      </w:pPr>
    </w:p>
    <w:p w:rsidR="007A5ECC" w:rsidRPr="00A01248" w:rsidRDefault="007A5ECC" w:rsidP="00503AD7">
      <w:pPr>
        <w:pStyle w:val="Default"/>
        <w:spacing w:line="240" w:lineRule="auto"/>
        <w:rPr>
          <w:b/>
          <w:bCs/>
        </w:rPr>
      </w:pPr>
      <w:r w:rsidRPr="00A01248">
        <w:rPr>
          <w:b/>
          <w:bCs/>
        </w:rPr>
        <w:t xml:space="preserve">Art. 37 – Rendiconto finanziario </w:t>
      </w:r>
    </w:p>
    <w:p w:rsidR="007A5ECC" w:rsidRPr="00A01248" w:rsidRDefault="007A5ECC" w:rsidP="00503AD7">
      <w:pPr>
        <w:pStyle w:val="Default"/>
        <w:spacing w:line="240" w:lineRule="auto"/>
      </w:pPr>
    </w:p>
    <w:p w:rsidR="00A01248" w:rsidRPr="00A01248" w:rsidRDefault="007A5ECC" w:rsidP="00A01248">
      <w:pPr>
        <w:pStyle w:val="Default"/>
        <w:widowControl/>
        <w:numPr>
          <w:ilvl w:val="0"/>
          <w:numId w:val="50"/>
        </w:numPr>
        <w:tabs>
          <w:tab w:val="clear" w:pos="1440"/>
          <w:tab w:val="num" w:pos="360"/>
        </w:tabs>
        <w:spacing w:line="240" w:lineRule="auto"/>
        <w:ind w:left="360"/>
        <w:textAlignment w:val="auto"/>
      </w:pPr>
      <w:r w:rsidRPr="00A01248">
        <w:t>Il rendiconto finanziario riepiloga fonti e impieghi dei flussi di cassa, evidenziando a consuntivo le modalità di copertura del fabbisogno finanziario derivante da investimenti in attività immobilizzate, da impieghi di natura finanziaria e patrimoniale dell’attività corrente ordinaria e straordinaria.</w:t>
      </w:r>
    </w:p>
    <w:p w:rsidR="007A5ECC" w:rsidRPr="00A01248" w:rsidRDefault="007A5ECC" w:rsidP="00503AD7">
      <w:pPr>
        <w:pStyle w:val="Default"/>
        <w:spacing w:line="240" w:lineRule="auto"/>
        <w:rPr>
          <w:b/>
          <w:bCs/>
        </w:rPr>
      </w:pPr>
    </w:p>
    <w:p w:rsidR="007A5ECC" w:rsidRPr="00A01248" w:rsidRDefault="007A5ECC" w:rsidP="00503AD7">
      <w:pPr>
        <w:pStyle w:val="Default"/>
        <w:spacing w:line="240" w:lineRule="auto"/>
        <w:rPr>
          <w:b/>
          <w:bCs/>
        </w:rPr>
      </w:pPr>
      <w:r w:rsidRPr="00A01248">
        <w:rPr>
          <w:b/>
          <w:bCs/>
        </w:rPr>
        <w:t xml:space="preserve">Art. 38 – Apertura dei conti </w:t>
      </w:r>
    </w:p>
    <w:p w:rsidR="007A5ECC" w:rsidRPr="00A01248" w:rsidRDefault="007A5ECC" w:rsidP="00503AD7">
      <w:pPr>
        <w:pStyle w:val="Default"/>
        <w:spacing w:line="240" w:lineRule="auto"/>
      </w:pPr>
    </w:p>
    <w:p w:rsidR="007A5ECC" w:rsidRPr="00A01248" w:rsidRDefault="007A5ECC" w:rsidP="00503AD7">
      <w:pPr>
        <w:pStyle w:val="Default"/>
        <w:widowControl/>
        <w:numPr>
          <w:ilvl w:val="0"/>
          <w:numId w:val="51"/>
        </w:numPr>
        <w:tabs>
          <w:tab w:val="clear" w:pos="1620"/>
          <w:tab w:val="left" w:pos="360"/>
        </w:tabs>
        <w:spacing w:line="240" w:lineRule="auto"/>
        <w:ind w:left="360"/>
        <w:textAlignment w:val="auto"/>
      </w:pPr>
      <w:r w:rsidRPr="00A01248">
        <w:t>I saldi finali dei conti relativi all’Attivo, Passivo e Patrimonio netto, costituiscono i saldi iniziali del nuovo periodo contabile. All’inizio del nuovo esercizio contabile, quindi, si provvede alla riapertura dei saldi dei conti dello Stato Patrimoniale.</w:t>
      </w:r>
    </w:p>
    <w:p w:rsidR="007A5ECC" w:rsidRDefault="007A5ECC" w:rsidP="00503AD7">
      <w:pPr>
        <w:autoSpaceDE w:val="0"/>
        <w:autoSpaceDN w:val="0"/>
        <w:adjustRightInd w:val="0"/>
        <w:jc w:val="center"/>
        <w:rPr>
          <w:b/>
          <w:bCs/>
          <w:color w:val="000000"/>
        </w:rPr>
      </w:pPr>
    </w:p>
    <w:p w:rsidR="0082515A" w:rsidRDefault="0082515A" w:rsidP="00503AD7">
      <w:pPr>
        <w:autoSpaceDE w:val="0"/>
        <w:autoSpaceDN w:val="0"/>
        <w:adjustRightInd w:val="0"/>
        <w:jc w:val="center"/>
        <w:rPr>
          <w:b/>
          <w:bCs/>
          <w:color w:val="000000"/>
        </w:rPr>
      </w:pPr>
    </w:p>
    <w:p w:rsidR="007A5ECC" w:rsidRPr="000F70A0" w:rsidRDefault="007A5ECC" w:rsidP="00503AD7">
      <w:pPr>
        <w:autoSpaceDE w:val="0"/>
        <w:autoSpaceDN w:val="0"/>
        <w:adjustRightInd w:val="0"/>
        <w:jc w:val="center"/>
        <w:rPr>
          <w:b/>
          <w:bCs/>
          <w:color w:val="000000"/>
        </w:rPr>
      </w:pPr>
      <w:r w:rsidRPr="000F70A0">
        <w:rPr>
          <w:b/>
          <w:bCs/>
          <w:color w:val="000000"/>
        </w:rPr>
        <w:t>CAPO IV – REVISIONE DEL BUDGET</w:t>
      </w:r>
    </w:p>
    <w:p w:rsidR="007A5ECC" w:rsidRDefault="007A5ECC" w:rsidP="00503AD7">
      <w:pPr>
        <w:pStyle w:val="Default"/>
        <w:spacing w:line="240" w:lineRule="auto"/>
        <w:rPr>
          <w:b/>
          <w:bCs/>
          <w:sz w:val="22"/>
          <w:szCs w:val="22"/>
        </w:rPr>
      </w:pPr>
    </w:p>
    <w:p w:rsidR="007A5ECC" w:rsidRPr="00A01248" w:rsidRDefault="007A5ECC" w:rsidP="00503AD7">
      <w:pPr>
        <w:pStyle w:val="Default"/>
        <w:spacing w:line="240" w:lineRule="auto"/>
        <w:rPr>
          <w:b/>
          <w:bCs/>
        </w:rPr>
      </w:pPr>
      <w:r w:rsidRPr="00A01248">
        <w:rPr>
          <w:b/>
          <w:bCs/>
        </w:rPr>
        <w:t xml:space="preserve">Art. 39 – Finalità del processo di revisione del budget </w:t>
      </w:r>
    </w:p>
    <w:p w:rsidR="007A5ECC" w:rsidRPr="00A01248" w:rsidRDefault="007A5ECC" w:rsidP="00503AD7">
      <w:pPr>
        <w:pStyle w:val="Default"/>
        <w:spacing w:line="240" w:lineRule="auto"/>
      </w:pPr>
    </w:p>
    <w:p w:rsidR="007A5ECC" w:rsidRPr="00A01248" w:rsidRDefault="007A5ECC" w:rsidP="00503AD7">
      <w:pPr>
        <w:pStyle w:val="Default"/>
        <w:widowControl/>
        <w:numPr>
          <w:ilvl w:val="0"/>
          <w:numId w:val="52"/>
        </w:numPr>
        <w:tabs>
          <w:tab w:val="clear" w:pos="1620"/>
          <w:tab w:val="left" w:pos="360"/>
        </w:tabs>
        <w:spacing w:line="240" w:lineRule="auto"/>
        <w:ind w:left="360"/>
        <w:textAlignment w:val="auto"/>
      </w:pPr>
      <w:r w:rsidRPr="00A01248">
        <w:t>Il processo di revisione del budget ha lo scopo di aggiornare i dati contenuti nel Bilancio Unico di previsione annuale, in relazione all’andamento della gestione in corso d’anno.</w:t>
      </w:r>
    </w:p>
    <w:p w:rsidR="007A5ECC" w:rsidRPr="00A01248" w:rsidRDefault="007A5ECC" w:rsidP="00503AD7">
      <w:pPr>
        <w:pStyle w:val="Default"/>
        <w:spacing w:line="240" w:lineRule="auto"/>
        <w:rPr>
          <w:b/>
          <w:bCs/>
        </w:rPr>
      </w:pPr>
    </w:p>
    <w:p w:rsidR="007A5ECC" w:rsidRPr="00A01248" w:rsidRDefault="007A5ECC" w:rsidP="00503AD7">
      <w:pPr>
        <w:pStyle w:val="Default"/>
        <w:spacing w:line="240" w:lineRule="auto"/>
        <w:rPr>
          <w:b/>
          <w:bCs/>
        </w:rPr>
      </w:pPr>
      <w:r w:rsidRPr="00A01248">
        <w:rPr>
          <w:b/>
          <w:bCs/>
        </w:rPr>
        <w:t xml:space="preserve">Art. 40 – Modifiche del budget </w:t>
      </w:r>
    </w:p>
    <w:p w:rsidR="007A5ECC" w:rsidRPr="00A01248" w:rsidRDefault="007A5ECC" w:rsidP="00503AD7">
      <w:pPr>
        <w:pStyle w:val="Default"/>
        <w:spacing w:line="240" w:lineRule="auto"/>
      </w:pPr>
    </w:p>
    <w:p w:rsidR="007A5ECC" w:rsidRPr="00A01248" w:rsidRDefault="007A5ECC" w:rsidP="00503AD7">
      <w:pPr>
        <w:pStyle w:val="Default"/>
        <w:widowControl/>
        <w:numPr>
          <w:ilvl w:val="0"/>
          <w:numId w:val="53"/>
        </w:numPr>
        <w:tabs>
          <w:tab w:val="clear" w:pos="1620"/>
          <w:tab w:val="num" w:pos="360"/>
          <w:tab w:val="num" w:pos="1440"/>
        </w:tabs>
        <w:spacing w:line="240" w:lineRule="auto"/>
        <w:ind w:left="360"/>
        <w:textAlignment w:val="auto"/>
      </w:pPr>
      <w:r w:rsidRPr="00A01248">
        <w:t>In corso d’anno, il budget può essere oggetto di variazioni per effetto dei seguenti eventi:</w:t>
      </w:r>
    </w:p>
    <w:p w:rsidR="007A5ECC" w:rsidRPr="00A01248" w:rsidRDefault="007A5ECC" w:rsidP="00503AD7">
      <w:pPr>
        <w:pStyle w:val="Default"/>
        <w:widowControl/>
        <w:numPr>
          <w:ilvl w:val="1"/>
          <w:numId w:val="53"/>
        </w:numPr>
        <w:tabs>
          <w:tab w:val="clear" w:pos="1620"/>
        </w:tabs>
        <w:spacing w:line="240" w:lineRule="auto"/>
        <w:ind w:left="720"/>
        <w:textAlignment w:val="auto"/>
      </w:pPr>
      <w:proofErr w:type="gramStart"/>
      <w:r w:rsidRPr="00A01248">
        <w:t>variazioni</w:t>
      </w:r>
      <w:proofErr w:type="gramEnd"/>
      <w:r w:rsidRPr="00A01248">
        <w:t xml:space="preserve"> in aumento o in diminuzione nell’assegnazione di risorse con vincolo di destinazione;</w:t>
      </w:r>
    </w:p>
    <w:p w:rsidR="007A5ECC" w:rsidRPr="00A01248" w:rsidRDefault="007A5ECC" w:rsidP="00503AD7">
      <w:pPr>
        <w:pStyle w:val="Default"/>
        <w:widowControl/>
        <w:numPr>
          <w:ilvl w:val="1"/>
          <w:numId w:val="53"/>
        </w:numPr>
        <w:tabs>
          <w:tab w:val="clear" w:pos="1620"/>
          <w:tab w:val="num" w:pos="720"/>
        </w:tabs>
        <w:spacing w:line="240" w:lineRule="auto"/>
        <w:ind w:left="720"/>
        <w:textAlignment w:val="auto"/>
      </w:pPr>
      <w:proofErr w:type="gramStart"/>
      <w:r w:rsidRPr="00A01248">
        <w:t>situazioni</w:t>
      </w:r>
      <w:proofErr w:type="gramEnd"/>
      <w:r w:rsidRPr="00A01248">
        <w:t xml:space="preserve"> di disequilibrio che richiedono interventi di assestamento del budget, in relazione a:</w:t>
      </w:r>
    </w:p>
    <w:p w:rsidR="007A5ECC" w:rsidRPr="00A01248" w:rsidRDefault="007A5ECC" w:rsidP="00503AD7">
      <w:pPr>
        <w:pStyle w:val="Default"/>
        <w:widowControl/>
        <w:numPr>
          <w:ilvl w:val="0"/>
          <w:numId w:val="54"/>
        </w:numPr>
        <w:tabs>
          <w:tab w:val="left" w:pos="1080"/>
        </w:tabs>
        <w:spacing w:line="240" w:lineRule="auto"/>
        <w:ind w:hanging="1440"/>
        <w:textAlignment w:val="auto"/>
      </w:pPr>
      <w:proofErr w:type="gramStart"/>
      <w:r w:rsidRPr="00A01248">
        <w:t>maggiori</w:t>
      </w:r>
      <w:proofErr w:type="gramEnd"/>
      <w:r w:rsidRPr="00A01248">
        <w:t xml:space="preserve"> costi da sostenere o nuovi fabbisogni da finanziare;</w:t>
      </w:r>
    </w:p>
    <w:p w:rsidR="007A5ECC" w:rsidRPr="00A01248" w:rsidRDefault="007A5ECC" w:rsidP="00503AD7">
      <w:pPr>
        <w:pStyle w:val="Default"/>
        <w:widowControl/>
        <w:numPr>
          <w:ilvl w:val="0"/>
          <w:numId w:val="54"/>
        </w:numPr>
        <w:tabs>
          <w:tab w:val="left" w:pos="1080"/>
        </w:tabs>
        <w:spacing w:line="240" w:lineRule="auto"/>
        <w:ind w:hanging="1440"/>
        <w:textAlignment w:val="auto"/>
      </w:pPr>
      <w:proofErr w:type="gramStart"/>
      <w:r w:rsidRPr="00A01248">
        <w:t>ricavi</w:t>
      </w:r>
      <w:proofErr w:type="gramEnd"/>
      <w:r w:rsidRPr="00A01248">
        <w:t xml:space="preserve"> minori rispetto a quelli previsti;</w:t>
      </w:r>
    </w:p>
    <w:p w:rsidR="007A5ECC" w:rsidRPr="00A01248" w:rsidRDefault="007A5ECC" w:rsidP="00503AD7">
      <w:pPr>
        <w:pStyle w:val="Default"/>
        <w:widowControl/>
        <w:numPr>
          <w:ilvl w:val="0"/>
          <w:numId w:val="54"/>
        </w:numPr>
        <w:tabs>
          <w:tab w:val="left" w:pos="1080"/>
        </w:tabs>
        <w:spacing w:line="240" w:lineRule="auto"/>
        <w:ind w:hanging="1440"/>
        <w:textAlignment w:val="auto"/>
      </w:pPr>
      <w:proofErr w:type="gramStart"/>
      <w:r w:rsidRPr="00A01248">
        <w:t>assegnazioni</w:t>
      </w:r>
      <w:proofErr w:type="gramEnd"/>
      <w:r w:rsidRPr="00A01248">
        <w:t xml:space="preserve"> di nuovi finanziamenti senza vincolo di destinazione;</w:t>
      </w:r>
    </w:p>
    <w:p w:rsidR="007A5ECC" w:rsidRPr="00A01248" w:rsidRDefault="007A5ECC" w:rsidP="00503AD7">
      <w:pPr>
        <w:pStyle w:val="Default"/>
        <w:widowControl/>
        <w:numPr>
          <w:ilvl w:val="0"/>
          <w:numId w:val="54"/>
        </w:numPr>
        <w:tabs>
          <w:tab w:val="clear" w:pos="2160"/>
          <w:tab w:val="num" w:pos="1080"/>
        </w:tabs>
        <w:spacing w:line="240" w:lineRule="auto"/>
        <w:ind w:left="1080" w:hanging="360"/>
        <w:textAlignment w:val="auto"/>
      </w:pPr>
      <w:proofErr w:type="gramStart"/>
      <w:r w:rsidRPr="00A01248">
        <w:t>allocazione</w:t>
      </w:r>
      <w:proofErr w:type="gramEnd"/>
      <w:r w:rsidRPr="00A01248">
        <w:t xml:space="preserve"> dell’utile/riassorbimento della perdita accertati alla fine dell’esercizio precedente;</w:t>
      </w:r>
    </w:p>
    <w:p w:rsidR="007A5ECC" w:rsidRPr="00A01248" w:rsidRDefault="007A5ECC" w:rsidP="00503AD7">
      <w:pPr>
        <w:pStyle w:val="Default"/>
        <w:widowControl/>
        <w:numPr>
          <w:ilvl w:val="0"/>
          <w:numId w:val="2"/>
        </w:numPr>
        <w:tabs>
          <w:tab w:val="clear" w:pos="1440"/>
          <w:tab w:val="num" w:pos="720"/>
        </w:tabs>
        <w:spacing w:line="240" w:lineRule="auto"/>
        <w:ind w:left="720"/>
        <w:textAlignment w:val="auto"/>
      </w:pPr>
      <w:proofErr w:type="gramStart"/>
      <w:r w:rsidRPr="00A01248">
        <w:t>rimodulazione</w:t>
      </w:r>
      <w:proofErr w:type="gramEnd"/>
      <w:r w:rsidRPr="00A01248">
        <w:t xml:space="preserve"> dei costi all’interno dei budget assegnati, che può riguardare variazioni tra budget economico e budget degli investimenti e viceversa, o all’interno di ciascun budget.</w:t>
      </w:r>
    </w:p>
    <w:p w:rsidR="007A5ECC" w:rsidRPr="00A01248" w:rsidRDefault="007A5ECC" w:rsidP="00503AD7">
      <w:pPr>
        <w:autoSpaceDE w:val="0"/>
        <w:autoSpaceDN w:val="0"/>
        <w:adjustRightInd w:val="0"/>
        <w:jc w:val="both"/>
        <w:rPr>
          <w:b/>
          <w:color w:val="000000"/>
        </w:rPr>
      </w:pPr>
    </w:p>
    <w:p w:rsidR="007A5ECC" w:rsidRDefault="007A5ECC" w:rsidP="00503AD7">
      <w:pPr>
        <w:autoSpaceDE w:val="0"/>
        <w:autoSpaceDN w:val="0"/>
        <w:adjustRightInd w:val="0"/>
        <w:jc w:val="both"/>
        <w:rPr>
          <w:b/>
          <w:color w:val="000000"/>
        </w:rPr>
      </w:pPr>
      <w:r w:rsidRPr="000F70A0">
        <w:rPr>
          <w:b/>
          <w:color w:val="000000"/>
        </w:rPr>
        <w:t>Art. 41 – Autorizzazione alle variazioni dei documenti contabili pubblici di preventivo</w:t>
      </w:r>
    </w:p>
    <w:p w:rsidR="007A5ECC" w:rsidRPr="000F70A0" w:rsidRDefault="007A5ECC" w:rsidP="00503AD7">
      <w:pPr>
        <w:autoSpaceDE w:val="0"/>
        <w:autoSpaceDN w:val="0"/>
        <w:adjustRightInd w:val="0"/>
        <w:jc w:val="both"/>
        <w:rPr>
          <w:b/>
          <w:color w:val="000000"/>
        </w:rPr>
      </w:pPr>
    </w:p>
    <w:p w:rsidR="007A5ECC" w:rsidRPr="000F70A0" w:rsidRDefault="007A5ECC" w:rsidP="00503AD7">
      <w:pPr>
        <w:numPr>
          <w:ilvl w:val="0"/>
          <w:numId w:val="55"/>
        </w:numPr>
        <w:tabs>
          <w:tab w:val="clear" w:pos="1440"/>
          <w:tab w:val="num" w:pos="360"/>
        </w:tabs>
        <w:autoSpaceDE w:val="0"/>
        <w:autoSpaceDN w:val="0"/>
        <w:adjustRightInd w:val="0"/>
        <w:ind w:left="360"/>
        <w:jc w:val="both"/>
        <w:rPr>
          <w:color w:val="000000"/>
        </w:rPr>
      </w:pPr>
      <w:r w:rsidRPr="000F70A0">
        <w:rPr>
          <w:color w:val="000000"/>
        </w:rPr>
        <w:t>Le variazioni di cui al comma 1 dell’art. 40, danno luogo ad una revisione del bilancio di previsione, e in particolare:</w:t>
      </w:r>
    </w:p>
    <w:p w:rsidR="007A5ECC" w:rsidRPr="000F70A0" w:rsidRDefault="007A5ECC" w:rsidP="00503AD7">
      <w:pPr>
        <w:numPr>
          <w:ilvl w:val="1"/>
          <w:numId w:val="55"/>
        </w:numPr>
        <w:tabs>
          <w:tab w:val="clear" w:pos="1440"/>
        </w:tabs>
        <w:autoSpaceDE w:val="0"/>
        <w:autoSpaceDN w:val="0"/>
        <w:adjustRightInd w:val="0"/>
        <w:ind w:left="720"/>
        <w:jc w:val="both"/>
        <w:rPr>
          <w:color w:val="000000"/>
        </w:rPr>
      </w:pPr>
      <w:proofErr w:type="gramStart"/>
      <w:r w:rsidRPr="000F70A0">
        <w:rPr>
          <w:color w:val="000000"/>
        </w:rPr>
        <w:t>le</w:t>
      </w:r>
      <w:proofErr w:type="gramEnd"/>
      <w:r w:rsidRPr="000F70A0">
        <w:rPr>
          <w:color w:val="000000"/>
        </w:rPr>
        <w:t xml:space="preserve"> variazioni nell’ambito delle risorse con vincolo di destinazione, nonché le rimodulazioni all’interno dei singoli budget economici o degli investimenti, sono autorizzate dal Direttore Generale. Le variazioni o rimodulazioni del medesimo tipo, che intervengano sui budget di </w:t>
      </w:r>
      <w:r w:rsidRPr="000F70A0">
        <w:rPr>
          <w:color w:val="000000"/>
        </w:rPr>
        <w:lastRenderedPageBreak/>
        <w:t xml:space="preserve">competenza di un </w:t>
      </w:r>
      <w:r>
        <w:rPr>
          <w:color w:val="000000"/>
        </w:rPr>
        <w:t xml:space="preserve">Dipartimento o di altro </w:t>
      </w:r>
      <w:r w:rsidRPr="000F70A0">
        <w:rPr>
          <w:color w:val="000000"/>
        </w:rPr>
        <w:t xml:space="preserve">Centro </w:t>
      </w:r>
      <w:r>
        <w:rPr>
          <w:color w:val="000000"/>
        </w:rPr>
        <w:t>autonomo di</w:t>
      </w:r>
      <w:r w:rsidRPr="000F70A0">
        <w:rPr>
          <w:color w:val="000000"/>
        </w:rPr>
        <w:t xml:space="preserve"> Gestione, sono autorizzate dal Direttore Generale, su proposta degli organi competenti dello stesso Centro di Gestione;</w:t>
      </w:r>
    </w:p>
    <w:p w:rsidR="007A5ECC" w:rsidRPr="000F70A0" w:rsidRDefault="007A5ECC" w:rsidP="00503AD7">
      <w:pPr>
        <w:numPr>
          <w:ilvl w:val="1"/>
          <w:numId w:val="55"/>
        </w:numPr>
        <w:tabs>
          <w:tab w:val="clear" w:pos="1440"/>
        </w:tabs>
        <w:autoSpaceDE w:val="0"/>
        <w:autoSpaceDN w:val="0"/>
        <w:adjustRightInd w:val="0"/>
        <w:ind w:left="720"/>
        <w:jc w:val="both"/>
        <w:rPr>
          <w:color w:val="000000"/>
        </w:rPr>
      </w:pPr>
      <w:proofErr w:type="gramStart"/>
      <w:r w:rsidRPr="000F70A0">
        <w:rPr>
          <w:color w:val="000000"/>
        </w:rPr>
        <w:t>le</w:t>
      </w:r>
      <w:proofErr w:type="gramEnd"/>
      <w:r w:rsidRPr="000F70A0">
        <w:rPr>
          <w:color w:val="000000"/>
        </w:rPr>
        <w:t xml:space="preserve"> variazioni di cui alle lettere b) e c), sono deliberate dal Consiglio di Amministrazione; in casi di necessità e urgenza, sono autorizzate mediante apposito Decreto Rettorale.</w:t>
      </w:r>
    </w:p>
    <w:p w:rsidR="007A5ECC" w:rsidRPr="00A01248" w:rsidRDefault="007A5ECC" w:rsidP="00503AD7">
      <w:pPr>
        <w:pStyle w:val="Default"/>
        <w:tabs>
          <w:tab w:val="left" w:pos="360"/>
        </w:tabs>
        <w:spacing w:line="240" w:lineRule="auto"/>
        <w:ind w:left="360" w:hanging="360"/>
      </w:pPr>
      <w:r w:rsidRPr="000F70A0">
        <w:rPr>
          <w:sz w:val="22"/>
          <w:szCs w:val="22"/>
        </w:rPr>
        <w:t>2.</w:t>
      </w:r>
      <w:r w:rsidRPr="000F70A0">
        <w:rPr>
          <w:sz w:val="22"/>
          <w:szCs w:val="22"/>
        </w:rPr>
        <w:tab/>
      </w:r>
      <w:r w:rsidRPr="00A01248">
        <w:t>Le variazioni di cui ai precedenti commi sono preventivamente sottoposte all’esame del Collegio dei Revisori dei conti, in conformità con quanto previsto al successivo art. 43.</w:t>
      </w:r>
    </w:p>
    <w:p w:rsidR="007A5ECC" w:rsidRDefault="007A5ECC" w:rsidP="00503AD7">
      <w:pPr>
        <w:pStyle w:val="Default"/>
        <w:spacing w:line="240" w:lineRule="auto"/>
        <w:jc w:val="center"/>
        <w:rPr>
          <w:b/>
          <w:bCs/>
          <w:sz w:val="22"/>
          <w:szCs w:val="22"/>
          <w:lang w:eastAsia="en-US"/>
        </w:rPr>
      </w:pPr>
    </w:p>
    <w:p w:rsidR="007A5ECC" w:rsidRDefault="007A5ECC" w:rsidP="00A01248">
      <w:pPr>
        <w:pStyle w:val="Default"/>
        <w:spacing w:line="240" w:lineRule="auto"/>
        <w:rPr>
          <w:b/>
          <w:bCs/>
          <w:sz w:val="22"/>
          <w:szCs w:val="22"/>
          <w:lang w:eastAsia="en-US"/>
        </w:rPr>
      </w:pPr>
    </w:p>
    <w:p w:rsidR="007A5ECC" w:rsidRDefault="007A5ECC" w:rsidP="00503AD7">
      <w:pPr>
        <w:pStyle w:val="Default"/>
        <w:spacing w:line="240" w:lineRule="auto"/>
        <w:jc w:val="center"/>
        <w:rPr>
          <w:b/>
          <w:bCs/>
          <w:sz w:val="22"/>
          <w:szCs w:val="22"/>
          <w:lang w:eastAsia="en-US"/>
        </w:rPr>
      </w:pPr>
    </w:p>
    <w:p w:rsidR="007A5ECC" w:rsidRPr="00A01248" w:rsidRDefault="007A5ECC" w:rsidP="00503AD7">
      <w:pPr>
        <w:pStyle w:val="Default"/>
        <w:spacing w:line="240" w:lineRule="auto"/>
        <w:jc w:val="center"/>
        <w:rPr>
          <w:b/>
          <w:bCs/>
          <w:lang w:eastAsia="en-US"/>
        </w:rPr>
      </w:pPr>
      <w:r w:rsidRPr="00A01248">
        <w:rPr>
          <w:b/>
          <w:bCs/>
          <w:lang w:eastAsia="en-US"/>
        </w:rPr>
        <w:t>CAPO V – CONTROLLI E NORME FINALI</w:t>
      </w:r>
    </w:p>
    <w:p w:rsidR="007A5ECC" w:rsidRPr="00A01248" w:rsidRDefault="007A5ECC" w:rsidP="00503AD7">
      <w:pPr>
        <w:pStyle w:val="Default"/>
        <w:spacing w:line="240" w:lineRule="auto"/>
        <w:rPr>
          <w:b/>
          <w:bCs/>
        </w:rPr>
      </w:pPr>
    </w:p>
    <w:p w:rsidR="007A5ECC" w:rsidRPr="00A01248" w:rsidRDefault="007A5ECC" w:rsidP="00503AD7">
      <w:pPr>
        <w:pStyle w:val="Default"/>
        <w:spacing w:line="240" w:lineRule="auto"/>
        <w:rPr>
          <w:b/>
          <w:bCs/>
        </w:rPr>
      </w:pPr>
      <w:r w:rsidRPr="00A01248">
        <w:rPr>
          <w:b/>
          <w:bCs/>
        </w:rPr>
        <w:t xml:space="preserve">Art. 42 – Il sistema dei controlli </w:t>
      </w:r>
    </w:p>
    <w:p w:rsidR="007A5ECC" w:rsidRPr="00A01248" w:rsidRDefault="007A5ECC" w:rsidP="00503AD7">
      <w:pPr>
        <w:pStyle w:val="Default"/>
        <w:spacing w:line="240" w:lineRule="auto"/>
      </w:pPr>
    </w:p>
    <w:p w:rsidR="007A5ECC" w:rsidRPr="00A01248" w:rsidRDefault="007A5ECC" w:rsidP="00503AD7">
      <w:pPr>
        <w:pStyle w:val="Default"/>
        <w:widowControl/>
        <w:numPr>
          <w:ilvl w:val="0"/>
          <w:numId w:val="56"/>
        </w:numPr>
        <w:tabs>
          <w:tab w:val="clear" w:pos="1440"/>
          <w:tab w:val="num" w:pos="360"/>
        </w:tabs>
        <w:spacing w:line="240" w:lineRule="auto"/>
        <w:ind w:left="360"/>
        <w:textAlignment w:val="auto"/>
      </w:pPr>
      <w:r w:rsidRPr="00A01248">
        <w:t>I controlli esterni sono finalizzati a garantire l’imparzialità, la correttezza della gestione, anche in termini di economicità, efficienza ed efficacia dell’Ateneo. Essi sono eseguiti da:</w:t>
      </w:r>
    </w:p>
    <w:p w:rsidR="007A5ECC" w:rsidRPr="00A01248" w:rsidRDefault="007A5ECC" w:rsidP="00503AD7">
      <w:pPr>
        <w:pStyle w:val="Default"/>
        <w:widowControl/>
        <w:numPr>
          <w:ilvl w:val="1"/>
          <w:numId w:val="56"/>
        </w:numPr>
        <w:tabs>
          <w:tab w:val="left" w:pos="720"/>
        </w:tabs>
        <w:spacing w:line="240" w:lineRule="auto"/>
        <w:ind w:hanging="1080"/>
        <w:textAlignment w:val="auto"/>
      </w:pPr>
      <w:proofErr w:type="gramStart"/>
      <w:r w:rsidRPr="00A01248">
        <w:t>il</w:t>
      </w:r>
      <w:proofErr w:type="gramEnd"/>
      <w:r w:rsidRPr="00A01248">
        <w:t xml:space="preserve"> Nucleo di valutazione;</w:t>
      </w:r>
    </w:p>
    <w:p w:rsidR="007A5ECC" w:rsidRPr="00A01248" w:rsidRDefault="007A5ECC" w:rsidP="00503AD7">
      <w:pPr>
        <w:pStyle w:val="Default"/>
        <w:widowControl/>
        <w:numPr>
          <w:ilvl w:val="1"/>
          <w:numId w:val="56"/>
        </w:numPr>
        <w:tabs>
          <w:tab w:val="left" w:pos="720"/>
        </w:tabs>
        <w:spacing w:line="240" w:lineRule="auto"/>
        <w:ind w:hanging="1080"/>
        <w:textAlignment w:val="auto"/>
      </w:pPr>
      <w:proofErr w:type="gramStart"/>
      <w:r w:rsidRPr="00A01248">
        <w:t>il</w:t>
      </w:r>
      <w:proofErr w:type="gramEnd"/>
      <w:r w:rsidRPr="00A01248">
        <w:t xml:space="preserve"> Collegio dei Revisori dei Conti.</w:t>
      </w:r>
    </w:p>
    <w:p w:rsidR="007A5ECC" w:rsidRPr="00A01248" w:rsidRDefault="007A5ECC" w:rsidP="00503AD7">
      <w:pPr>
        <w:pStyle w:val="Default"/>
        <w:widowControl/>
        <w:numPr>
          <w:ilvl w:val="0"/>
          <w:numId w:val="57"/>
        </w:numPr>
        <w:tabs>
          <w:tab w:val="left" w:pos="360"/>
        </w:tabs>
        <w:spacing w:line="240" w:lineRule="auto"/>
        <w:ind w:hanging="1440"/>
        <w:textAlignment w:val="auto"/>
      </w:pPr>
      <w:r w:rsidRPr="00A01248">
        <w:t xml:space="preserve">Svolgono funzioni di controllo interno anche il Settore Servizi Finanziari. </w:t>
      </w:r>
    </w:p>
    <w:p w:rsidR="007A5ECC" w:rsidRPr="00A01248" w:rsidRDefault="007A5ECC" w:rsidP="00503AD7">
      <w:pPr>
        <w:pStyle w:val="Default"/>
        <w:spacing w:line="240" w:lineRule="auto"/>
        <w:rPr>
          <w:b/>
          <w:bCs/>
        </w:rPr>
      </w:pPr>
    </w:p>
    <w:p w:rsidR="007A5ECC" w:rsidRPr="00A01248" w:rsidRDefault="007A5ECC" w:rsidP="00503AD7">
      <w:pPr>
        <w:pStyle w:val="Default"/>
        <w:spacing w:line="240" w:lineRule="auto"/>
        <w:rPr>
          <w:b/>
          <w:bCs/>
        </w:rPr>
      </w:pPr>
      <w:r w:rsidRPr="00A01248">
        <w:rPr>
          <w:b/>
          <w:bCs/>
        </w:rPr>
        <w:t>Art. 43 – Il Collegio dei Revisori dei Conti</w:t>
      </w:r>
    </w:p>
    <w:p w:rsidR="007A5ECC" w:rsidRPr="00A01248" w:rsidRDefault="007A5ECC" w:rsidP="00503AD7">
      <w:pPr>
        <w:pStyle w:val="Default"/>
        <w:spacing w:line="240" w:lineRule="auto"/>
      </w:pPr>
    </w:p>
    <w:p w:rsidR="007A5ECC" w:rsidRPr="00A01248" w:rsidRDefault="007A5ECC" w:rsidP="00503AD7">
      <w:pPr>
        <w:pStyle w:val="Default"/>
        <w:widowControl/>
        <w:numPr>
          <w:ilvl w:val="0"/>
          <w:numId w:val="58"/>
        </w:numPr>
        <w:tabs>
          <w:tab w:val="clear" w:pos="1440"/>
          <w:tab w:val="left" w:pos="360"/>
        </w:tabs>
        <w:spacing w:line="240" w:lineRule="auto"/>
        <w:ind w:left="360"/>
        <w:textAlignment w:val="auto"/>
      </w:pPr>
      <w:r w:rsidRPr="00A01248">
        <w:t>Il Collegio dei Revisori è l’organo indipendente di consulenza e controllo interno che verifica la correttezza amministrativo-contabile degli atti dell’Ateneo, ed è costituito e disciplinato, secondo le norme vigenti e le disposizioni dello Statuto.</w:t>
      </w:r>
    </w:p>
    <w:p w:rsidR="007A5ECC" w:rsidRPr="00A01248" w:rsidRDefault="007A5ECC" w:rsidP="00503AD7">
      <w:pPr>
        <w:pStyle w:val="Default"/>
        <w:widowControl/>
        <w:numPr>
          <w:ilvl w:val="0"/>
          <w:numId w:val="58"/>
        </w:numPr>
        <w:tabs>
          <w:tab w:val="clear" w:pos="1440"/>
          <w:tab w:val="left" w:pos="360"/>
          <w:tab w:val="num" w:pos="720"/>
        </w:tabs>
        <w:spacing w:line="240" w:lineRule="auto"/>
        <w:ind w:left="360"/>
        <w:textAlignment w:val="auto"/>
      </w:pPr>
      <w:r w:rsidRPr="00A01248">
        <w:t>Il Collegio esegue tutte le verifiche relative alla gestione economica, patrimoniale, finanziaria, vigilando sull’osservanza della legge, dello Statuto e del presente Regolamento. In particolare:</w:t>
      </w:r>
    </w:p>
    <w:p w:rsidR="007A5ECC" w:rsidRPr="00A01248" w:rsidRDefault="007A5ECC" w:rsidP="00503AD7">
      <w:pPr>
        <w:pStyle w:val="Default"/>
        <w:widowControl/>
        <w:numPr>
          <w:ilvl w:val="1"/>
          <w:numId w:val="58"/>
        </w:numPr>
        <w:tabs>
          <w:tab w:val="clear" w:pos="1440"/>
          <w:tab w:val="left" w:pos="360"/>
          <w:tab w:val="num" w:pos="720"/>
        </w:tabs>
        <w:spacing w:line="240" w:lineRule="auto"/>
        <w:ind w:left="720"/>
        <w:textAlignment w:val="auto"/>
      </w:pPr>
      <w:proofErr w:type="gramStart"/>
      <w:r w:rsidRPr="00A01248">
        <w:t>verifica</w:t>
      </w:r>
      <w:proofErr w:type="gramEnd"/>
      <w:r w:rsidRPr="00A01248">
        <w:t xml:space="preserve"> la regolarità della gestione e della tenuta di libri e scritture contabili;</w:t>
      </w:r>
    </w:p>
    <w:p w:rsidR="007A5ECC" w:rsidRPr="00A01248" w:rsidRDefault="007A5ECC" w:rsidP="00503AD7">
      <w:pPr>
        <w:pStyle w:val="Default"/>
        <w:widowControl/>
        <w:numPr>
          <w:ilvl w:val="1"/>
          <w:numId w:val="58"/>
        </w:numPr>
        <w:tabs>
          <w:tab w:val="clear" w:pos="1440"/>
          <w:tab w:val="left" w:pos="360"/>
          <w:tab w:val="num" w:pos="720"/>
        </w:tabs>
        <w:spacing w:line="240" w:lineRule="auto"/>
        <w:ind w:left="720"/>
        <w:textAlignment w:val="auto"/>
      </w:pPr>
      <w:proofErr w:type="gramStart"/>
      <w:r w:rsidRPr="00A01248">
        <w:t>esamina</w:t>
      </w:r>
      <w:proofErr w:type="gramEnd"/>
      <w:r w:rsidRPr="00A01248">
        <w:t xml:space="preserve"> i documenti contabili pubblici di sintesi, di cui all’art. 15 e i relativi allegati, nonché le eventuali revisioni del budget;</w:t>
      </w:r>
    </w:p>
    <w:p w:rsidR="007A5ECC" w:rsidRPr="00A01248" w:rsidRDefault="007A5ECC" w:rsidP="00503AD7">
      <w:pPr>
        <w:pStyle w:val="Default"/>
        <w:widowControl/>
        <w:numPr>
          <w:ilvl w:val="1"/>
          <w:numId w:val="58"/>
        </w:numPr>
        <w:tabs>
          <w:tab w:val="clear" w:pos="1440"/>
          <w:tab w:val="left" w:pos="360"/>
          <w:tab w:val="num" w:pos="720"/>
        </w:tabs>
        <w:spacing w:line="240" w:lineRule="auto"/>
        <w:ind w:left="720"/>
        <w:textAlignment w:val="auto"/>
      </w:pPr>
      <w:proofErr w:type="gramStart"/>
      <w:r w:rsidRPr="00A01248">
        <w:t>effettua</w:t>
      </w:r>
      <w:proofErr w:type="gramEnd"/>
      <w:r w:rsidRPr="00A01248">
        <w:t xml:space="preserve"> inoltre periodiche verifiche di cassa, sull’esistenza dei valori e dei titoli in proprietà, deposito, cauzione e custodia;</w:t>
      </w:r>
    </w:p>
    <w:p w:rsidR="007A5ECC" w:rsidRPr="00A01248" w:rsidRDefault="007A5ECC" w:rsidP="00503AD7">
      <w:pPr>
        <w:pStyle w:val="Default"/>
        <w:widowControl/>
        <w:numPr>
          <w:ilvl w:val="1"/>
          <w:numId w:val="58"/>
        </w:numPr>
        <w:tabs>
          <w:tab w:val="clear" w:pos="1440"/>
          <w:tab w:val="left" w:pos="360"/>
          <w:tab w:val="num" w:pos="720"/>
        </w:tabs>
        <w:spacing w:line="240" w:lineRule="auto"/>
        <w:ind w:left="720"/>
        <w:textAlignment w:val="auto"/>
      </w:pPr>
      <w:proofErr w:type="gramStart"/>
      <w:r w:rsidRPr="00A01248">
        <w:t>predispone</w:t>
      </w:r>
      <w:proofErr w:type="gramEnd"/>
      <w:r w:rsidRPr="00A01248">
        <w:t xml:space="preserve"> la relazione prevista dal comma 4 dell’art. 15, che deve contenere l’attestazione circa la corrispondenza delle risultanze di bilancio con le scritture contabili e le considerazioni in ordine alla regolarità della gestione finanziaria, contabile ed economico-patrimoniale.</w:t>
      </w:r>
    </w:p>
    <w:p w:rsidR="007A5ECC" w:rsidRPr="00A01248" w:rsidRDefault="007A5ECC" w:rsidP="00503AD7">
      <w:pPr>
        <w:pStyle w:val="Default"/>
        <w:widowControl/>
        <w:numPr>
          <w:ilvl w:val="0"/>
          <w:numId w:val="59"/>
        </w:numPr>
        <w:tabs>
          <w:tab w:val="clear" w:pos="1440"/>
          <w:tab w:val="num" w:pos="360"/>
        </w:tabs>
        <w:spacing w:line="240" w:lineRule="auto"/>
        <w:ind w:left="360"/>
        <w:textAlignment w:val="auto"/>
      </w:pPr>
      <w:r w:rsidRPr="00A01248">
        <w:t>I Revisori dei Conti possono procedere, in qualsiasi momento, anche individualmente, previa comunicazione al Presidente, ad atti di ispezione, verifica e controllo di cui al comma 2. Le ispezioni, verifiche e controlli devono essere successivamente portati all’attenzione del Collegio.</w:t>
      </w:r>
    </w:p>
    <w:p w:rsidR="007A5ECC" w:rsidRPr="00A01248" w:rsidRDefault="007A5ECC" w:rsidP="00503AD7">
      <w:pPr>
        <w:pStyle w:val="Default"/>
        <w:widowControl/>
        <w:numPr>
          <w:ilvl w:val="0"/>
          <w:numId w:val="59"/>
        </w:numPr>
        <w:tabs>
          <w:tab w:val="clear" w:pos="1440"/>
          <w:tab w:val="num" w:pos="360"/>
        </w:tabs>
        <w:spacing w:line="240" w:lineRule="auto"/>
        <w:ind w:left="360"/>
        <w:textAlignment w:val="auto"/>
      </w:pPr>
      <w:r w:rsidRPr="00A01248">
        <w:t>Per l’esercizio delle proprie funzioni, ciascun Revisore ha diritto di prendere visione di tutti gli atti amministrativi e contabili dell’Ateneo.</w:t>
      </w:r>
    </w:p>
    <w:p w:rsidR="007A5ECC" w:rsidRPr="00A01248" w:rsidRDefault="007A5ECC" w:rsidP="00503AD7">
      <w:pPr>
        <w:pStyle w:val="Default"/>
        <w:spacing w:line="240" w:lineRule="auto"/>
        <w:rPr>
          <w:b/>
          <w:bCs/>
        </w:rPr>
      </w:pPr>
    </w:p>
    <w:p w:rsidR="007A5ECC" w:rsidRPr="00A01248" w:rsidRDefault="007A5ECC" w:rsidP="00503AD7">
      <w:pPr>
        <w:pStyle w:val="Default"/>
        <w:spacing w:line="240" w:lineRule="auto"/>
        <w:rPr>
          <w:b/>
          <w:bCs/>
        </w:rPr>
      </w:pPr>
      <w:r w:rsidRPr="00A01248">
        <w:rPr>
          <w:b/>
          <w:bCs/>
        </w:rPr>
        <w:t xml:space="preserve">Art. 44 – Analisi dei risultati della gestione </w:t>
      </w:r>
    </w:p>
    <w:p w:rsidR="007A5ECC" w:rsidRPr="00A01248" w:rsidRDefault="007A5ECC" w:rsidP="00503AD7">
      <w:pPr>
        <w:pStyle w:val="Default"/>
        <w:spacing w:line="240" w:lineRule="auto"/>
      </w:pPr>
    </w:p>
    <w:p w:rsidR="007A5ECC" w:rsidRPr="00A01248" w:rsidRDefault="007A5ECC" w:rsidP="00503AD7">
      <w:pPr>
        <w:pStyle w:val="Default"/>
        <w:widowControl/>
        <w:numPr>
          <w:ilvl w:val="0"/>
          <w:numId w:val="60"/>
        </w:numPr>
        <w:tabs>
          <w:tab w:val="clear" w:pos="1440"/>
          <w:tab w:val="num" w:pos="360"/>
        </w:tabs>
        <w:spacing w:line="240" w:lineRule="auto"/>
        <w:ind w:left="360"/>
        <w:textAlignment w:val="auto"/>
      </w:pPr>
      <w:r w:rsidRPr="00A01248">
        <w:t>La struttura dedicata al controllo di gestione esegue l’analisi della gestione contabile e finanziaria per verificare lo stato di attuazione degli obiettivi programmati, la funzionalità dell’organizzazione dell’Ateneo, l’efficacia, l’efficienza e il livello di economicità nell’attività di realizzazione dei predetti obiettivi.</w:t>
      </w:r>
    </w:p>
    <w:p w:rsidR="007A5ECC" w:rsidRPr="00A01248" w:rsidRDefault="007A5ECC" w:rsidP="00503AD7">
      <w:pPr>
        <w:pStyle w:val="Default"/>
        <w:widowControl/>
        <w:numPr>
          <w:ilvl w:val="0"/>
          <w:numId w:val="60"/>
        </w:numPr>
        <w:tabs>
          <w:tab w:val="clear" w:pos="1440"/>
          <w:tab w:val="num" w:pos="360"/>
        </w:tabs>
        <w:spacing w:line="240" w:lineRule="auto"/>
        <w:ind w:left="360"/>
        <w:textAlignment w:val="auto"/>
      </w:pPr>
      <w:r w:rsidRPr="00A01248">
        <w:lastRenderedPageBreak/>
        <w:t>I Dipartimenti e gli altri Centri autonomi di gestione devono fornire gli eventuali elementi necessari per l’effettuazione dell’analisi.</w:t>
      </w:r>
    </w:p>
    <w:p w:rsidR="007A5ECC" w:rsidRPr="00A01248" w:rsidRDefault="007A5ECC" w:rsidP="00503AD7">
      <w:pPr>
        <w:pStyle w:val="Default"/>
        <w:widowControl/>
        <w:numPr>
          <w:ilvl w:val="0"/>
          <w:numId w:val="60"/>
        </w:numPr>
        <w:tabs>
          <w:tab w:val="clear" w:pos="1440"/>
          <w:tab w:val="num" w:pos="360"/>
        </w:tabs>
        <w:spacing w:line="240" w:lineRule="auto"/>
        <w:ind w:left="360"/>
        <w:textAlignment w:val="auto"/>
      </w:pPr>
      <w:r w:rsidRPr="00A01248">
        <w:t>L’attività di analisi è finalizzata in particolare a monitorare sistematicamente e prevenire possibili criticità legate alle attività dei Dipartimenti e degli altri Centri autonomi di gestione. A tal fine vengono individuate e costantemente aggiornate le aree di rischio nella gestione dell’Ateneo.</w:t>
      </w:r>
    </w:p>
    <w:p w:rsidR="007A5ECC" w:rsidRDefault="007A5ECC" w:rsidP="00503AD7">
      <w:pPr>
        <w:pStyle w:val="Default"/>
        <w:tabs>
          <w:tab w:val="left" w:pos="284"/>
        </w:tabs>
        <w:spacing w:line="240" w:lineRule="auto"/>
        <w:ind w:left="284" w:hanging="284"/>
        <w:rPr>
          <w:b/>
          <w:bCs/>
          <w:sz w:val="22"/>
          <w:szCs w:val="22"/>
        </w:rPr>
      </w:pPr>
    </w:p>
    <w:p w:rsidR="007A5ECC" w:rsidRPr="00A01248" w:rsidRDefault="007A5ECC" w:rsidP="00503AD7">
      <w:pPr>
        <w:pStyle w:val="Default"/>
        <w:tabs>
          <w:tab w:val="left" w:pos="284"/>
        </w:tabs>
        <w:spacing w:line="240" w:lineRule="auto"/>
        <w:ind w:left="284" w:hanging="284"/>
        <w:rPr>
          <w:b/>
          <w:bCs/>
        </w:rPr>
      </w:pPr>
      <w:r w:rsidRPr="00A01248">
        <w:rPr>
          <w:b/>
          <w:bCs/>
        </w:rPr>
        <w:t xml:space="preserve">Art. 45 – Rilevazioni analitiche </w:t>
      </w:r>
    </w:p>
    <w:p w:rsidR="007A5ECC" w:rsidRPr="00A01248" w:rsidRDefault="007A5ECC" w:rsidP="00503AD7">
      <w:pPr>
        <w:pStyle w:val="Default"/>
        <w:tabs>
          <w:tab w:val="left" w:pos="284"/>
        </w:tabs>
        <w:spacing w:line="240" w:lineRule="auto"/>
        <w:ind w:left="284" w:hanging="284"/>
      </w:pPr>
    </w:p>
    <w:p w:rsidR="007A5ECC" w:rsidRPr="00A01248" w:rsidRDefault="007A5ECC" w:rsidP="00503AD7">
      <w:pPr>
        <w:pStyle w:val="Default"/>
        <w:widowControl/>
        <w:numPr>
          <w:ilvl w:val="0"/>
          <w:numId w:val="61"/>
        </w:numPr>
        <w:tabs>
          <w:tab w:val="clear" w:pos="1440"/>
          <w:tab w:val="num" w:pos="360"/>
        </w:tabs>
        <w:spacing w:line="240" w:lineRule="auto"/>
        <w:ind w:left="360"/>
        <w:textAlignment w:val="auto"/>
      </w:pPr>
      <w:r w:rsidRPr="00A01248">
        <w:t>Le componenti del sistema di contabilità analitica per Unità analitica sono descritte all’art. 9 e nel Manuale di Controllo di Gestione.</w:t>
      </w:r>
    </w:p>
    <w:p w:rsidR="007A5ECC" w:rsidRPr="00A01248" w:rsidRDefault="007A5ECC" w:rsidP="00503AD7">
      <w:pPr>
        <w:pStyle w:val="Default"/>
        <w:widowControl/>
        <w:numPr>
          <w:ilvl w:val="0"/>
          <w:numId w:val="61"/>
        </w:numPr>
        <w:tabs>
          <w:tab w:val="clear" w:pos="1440"/>
          <w:tab w:val="num" w:pos="360"/>
        </w:tabs>
        <w:spacing w:line="240" w:lineRule="auto"/>
        <w:ind w:left="360"/>
        <w:textAlignment w:val="auto"/>
      </w:pPr>
      <w:r w:rsidRPr="00A01248">
        <w:t>I dati e le informazioni risultanti dalle scritture contabili sono utilizzati per l’analisi dei costi/proventi relativi alle unità analitiche.</w:t>
      </w:r>
    </w:p>
    <w:p w:rsidR="007A5ECC" w:rsidRPr="00A01248" w:rsidRDefault="007A5ECC" w:rsidP="00503AD7">
      <w:pPr>
        <w:pStyle w:val="Default"/>
        <w:tabs>
          <w:tab w:val="left" w:pos="284"/>
        </w:tabs>
        <w:spacing w:line="240" w:lineRule="auto"/>
        <w:ind w:left="284" w:hanging="284"/>
        <w:rPr>
          <w:b/>
          <w:bCs/>
        </w:rPr>
      </w:pPr>
    </w:p>
    <w:p w:rsidR="007A5ECC" w:rsidRPr="00A01248" w:rsidRDefault="007A5ECC" w:rsidP="00503AD7">
      <w:pPr>
        <w:pStyle w:val="Default"/>
        <w:tabs>
          <w:tab w:val="left" w:pos="284"/>
        </w:tabs>
        <w:spacing w:line="240" w:lineRule="auto"/>
        <w:ind w:left="284" w:hanging="284"/>
        <w:rPr>
          <w:b/>
          <w:bCs/>
        </w:rPr>
      </w:pPr>
      <w:r w:rsidRPr="00A01248">
        <w:rPr>
          <w:b/>
          <w:bCs/>
        </w:rPr>
        <w:t xml:space="preserve">Art. 46 – Valutazione e controllo strategico </w:t>
      </w:r>
    </w:p>
    <w:p w:rsidR="007A5ECC" w:rsidRPr="00A01248" w:rsidRDefault="007A5ECC" w:rsidP="00503AD7">
      <w:pPr>
        <w:pStyle w:val="Default"/>
        <w:tabs>
          <w:tab w:val="left" w:pos="284"/>
        </w:tabs>
        <w:spacing w:line="240" w:lineRule="auto"/>
        <w:ind w:left="284" w:hanging="284"/>
      </w:pPr>
    </w:p>
    <w:p w:rsidR="007A5ECC" w:rsidRPr="00A01248" w:rsidRDefault="007A5ECC" w:rsidP="00503AD7">
      <w:pPr>
        <w:pStyle w:val="Default"/>
        <w:widowControl/>
        <w:numPr>
          <w:ilvl w:val="0"/>
          <w:numId w:val="62"/>
        </w:numPr>
        <w:tabs>
          <w:tab w:val="clear" w:pos="1440"/>
          <w:tab w:val="left" w:pos="360"/>
        </w:tabs>
        <w:spacing w:line="240" w:lineRule="auto"/>
        <w:ind w:left="360"/>
        <w:textAlignment w:val="auto"/>
      </w:pPr>
      <w:r w:rsidRPr="00A01248">
        <w:t>La valutazione e il controllo strategico hanno la funzione di verificare l’effettiva attuazione delle scelte contenute nelle direttive e negli altri atti di indirizzo politico.</w:t>
      </w:r>
    </w:p>
    <w:p w:rsidR="007A5ECC" w:rsidRPr="00A01248" w:rsidRDefault="007A5ECC" w:rsidP="00503AD7">
      <w:pPr>
        <w:pStyle w:val="Default"/>
        <w:widowControl/>
        <w:numPr>
          <w:ilvl w:val="0"/>
          <w:numId w:val="62"/>
        </w:numPr>
        <w:tabs>
          <w:tab w:val="clear" w:pos="1440"/>
          <w:tab w:val="left" w:pos="360"/>
        </w:tabs>
        <w:spacing w:line="240" w:lineRule="auto"/>
        <w:ind w:left="360"/>
        <w:textAlignment w:val="auto"/>
      </w:pPr>
      <w:r w:rsidRPr="00A01248">
        <w:t>L’attività di valutazione e controllo strategico consiste nell’analisi, preventiva e successiva, della congruenza e degli eventuali scostamenti tra le missioni istituzionali, gli obiettivi individuati, le scelte operative effettuate e le risorse umane, finanziarie e materiali assegnate.</w:t>
      </w:r>
    </w:p>
    <w:p w:rsidR="007A5ECC" w:rsidRDefault="007A5ECC" w:rsidP="00503AD7">
      <w:pPr>
        <w:pStyle w:val="Default"/>
        <w:widowControl/>
        <w:numPr>
          <w:ilvl w:val="0"/>
          <w:numId w:val="62"/>
        </w:numPr>
        <w:tabs>
          <w:tab w:val="clear" w:pos="1440"/>
          <w:tab w:val="left" w:pos="360"/>
        </w:tabs>
        <w:spacing w:line="240" w:lineRule="auto"/>
        <w:ind w:left="360"/>
        <w:textAlignment w:val="auto"/>
      </w:pPr>
      <w:r w:rsidRPr="00A01248">
        <w:t xml:space="preserve">Per le attività di cui ai precedenti commi, il Direttore Generale, con il supporto della struttura dedicata al controllo di gestione, trasmette apposite relazioni agli organi </w:t>
      </w:r>
      <w:proofErr w:type="spellStart"/>
      <w:r w:rsidRPr="00A01248">
        <w:t>do</w:t>
      </w:r>
      <w:proofErr w:type="spellEnd"/>
      <w:r w:rsidRPr="00A01248">
        <w:t xml:space="preserve"> governo dell’Ateneo a secondo delle rispettive competenze. </w:t>
      </w:r>
    </w:p>
    <w:p w:rsidR="0082515A" w:rsidRPr="00A01248" w:rsidRDefault="0082515A" w:rsidP="0082515A">
      <w:pPr>
        <w:pStyle w:val="Default"/>
        <w:widowControl/>
        <w:tabs>
          <w:tab w:val="left" w:pos="360"/>
        </w:tabs>
        <w:spacing w:line="240" w:lineRule="auto"/>
        <w:textAlignment w:val="auto"/>
      </w:pPr>
    </w:p>
    <w:p w:rsidR="007A5ECC" w:rsidRPr="000F70A0" w:rsidRDefault="007A5ECC" w:rsidP="00503AD7">
      <w:pPr>
        <w:pStyle w:val="Default"/>
        <w:spacing w:line="240" w:lineRule="auto"/>
        <w:rPr>
          <w:sz w:val="22"/>
          <w:szCs w:val="22"/>
        </w:rPr>
      </w:pPr>
    </w:p>
    <w:p w:rsidR="007A5ECC" w:rsidRPr="00503AD7" w:rsidRDefault="007A5ECC" w:rsidP="00503AD7">
      <w:pPr>
        <w:pStyle w:val="Default"/>
        <w:spacing w:line="240" w:lineRule="auto"/>
        <w:jc w:val="center"/>
        <w:rPr>
          <w:b/>
          <w:sz w:val="22"/>
          <w:szCs w:val="22"/>
        </w:rPr>
      </w:pPr>
      <w:r w:rsidRPr="00503AD7">
        <w:rPr>
          <w:b/>
          <w:bCs/>
          <w:iCs/>
          <w:sz w:val="22"/>
          <w:szCs w:val="22"/>
        </w:rPr>
        <w:t xml:space="preserve">TITOLO III - GESTIONE CESPITI </w:t>
      </w:r>
    </w:p>
    <w:p w:rsidR="007A5ECC" w:rsidRPr="00503AD7" w:rsidRDefault="007A5ECC" w:rsidP="00503AD7">
      <w:pPr>
        <w:autoSpaceDE w:val="0"/>
        <w:autoSpaceDN w:val="0"/>
        <w:adjustRightInd w:val="0"/>
        <w:jc w:val="center"/>
        <w:rPr>
          <w:b/>
          <w:bCs/>
          <w:color w:val="000000"/>
        </w:rPr>
      </w:pPr>
      <w:r w:rsidRPr="00503AD7">
        <w:rPr>
          <w:b/>
          <w:bCs/>
          <w:color w:val="000000"/>
        </w:rPr>
        <w:t>CAPO I – DISPOSIZIONI SUL PATRIMONIO</w:t>
      </w:r>
    </w:p>
    <w:p w:rsidR="007A5ECC" w:rsidRDefault="007A5ECC" w:rsidP="00503AD7">
      <w:pPr>
        <w:jc w:val="both"/>
        <w:rPr>
          <w:b/>
        </w:rPr>
      </w:pPr>
    </w:p>
    <w:p w:rsidR="007A5ECC" w:rsidRDefault="007A5ECC" w:rsidP="00503AD7">
      <w:pPr>
        <w:jc w:val="both"/>
        <w:rPr>
          <w:b/>
        </w:rPr>
      </w:pPr>
      <w:r w:rsidRPr="000F70A0">
        <w:rPr>
          <w:b/>
        </w:rPr>
        <w:t xml:space="preserve">Art. 47 – Patrimonio </w:t>
      </w:r>
    </w:p>
    <w:p w:rsidR="007A5ECC" w:rsidRPr="000F70A0" w:rsidRDefault="007A5ECC" w:rsidP="00503AD7">
      <w:pPr>
        <w:jc w:val="both"/>
        <w:rPr>
          <w:b/>
        </w:rPr>
      </w:pPr>
    </w:p>
    <w:p w:rsidR="007A5ECC" w:rsidRPr="000F70A0" w:rsidRDefault="007A5ECC" w:rsidP="00503AD7">
      <w:pPr>
        <w:numPr>
          <w:ilvl w:val="0"/>
          <w:numId w:val="63"/>
        </w:numPr>
        <w:tabs>
          <w:tab w:val="clear" w:pos="1440"/>
          <w:tab w:val="num" w:pos="360"/>
        </w:tabs>
        <w:ind w:left="360"/>
        <w:jc w:val="both"/>
      </w:pPr>
      <w:r w:rsidRPr="000F70A0">
        <w:t>Il patrimonio dell’Ateneo è costituito, in base a quanto previsto dalla normativa vigente, da:</w:t>
      </w:r>
    </w:p>
    <w:p w:rsidR="007A5ECC" w:rsidRPr="000F70A0" w:rsidRDefault="007A5ECC" w:rsidP="00503AD7">
      <w:pPr>
        <w:numPr>
          <w:ilvl w:val="1"/>
          <w:numId w:val="63"/>
        </w:numPr>
        <w:tabs>
          <w:tab w:val="left" w:pos="720"/>
        </w:tabs>
        <w:ind w:hanging="1080"/>
        <w:jc w:val="both"/>
      </w:pPr>
      <w:proofErr w:type="gramStart"/>
      <w:r w:rsidRPr="000F70A0">
        <w:t>immobilizzazioni</w:t>
      </w:r>
      <w:proofErr w:type="gramEnd"/>
      <w:r w:rsidRPr="000F70A0">
        <w:t xml:space="preserve"> immateriali;</w:t>
      </w:r>
    </w:p>
    <w:p w:rsidR="007A5ECC" w:rsidRPr="000F70A0" w:rsidRDefault="007A5ECC" w:rsidP="00503AD7">
      <w:pPr>
        <w:numPr>
          <w:ilvl w:val="1"/>
          <w:numId w:val="63"/>
        </w:numPr>
        <w:tabs>
          <w:tab w:val="left" w:pos="720"/>
        </w:tabs>
        <w:ind w:hanging="1080"/>
        <w:jc w:val="both"/>
      </w:pPr>
      <w:proofErr w:type="gramStart"/>
      <w:r w:rsidRPr="000F70A0">
        <w:t>immobilizzazioni</w:t>
      </w:r>
      <w:proofErr w:type="gramEnd"/>
      <w:r w:rsidRPr="000F70A0">
        <w:t xml:space="preserve"> materiali;</w:t>
      </w:r>
    </w:p>
    <w:p w:rsidR="007A5ECC" w:rsidRPr="000F70A0" w:rsidRDefault="007A5ECC" w:rsidP="00503AD7">
      <w:pPr>
        <w:numPr>
          <w:ilvl w:val="1"/>
          <w:numId w:val="63"/>
        </w:numPr>
        <w:tabs>
          <w:tab w:val="left" w:pos="720"/>
        </w:tabs>
        <w:ind w:hanging="1080"/>
        <w:jc w:val="both"/>
        <w:rPr>
          <w:bCs/>
          <w:color w:val="000000"/>
        </w:rPr>
      </w:pPr>
      <w:proofErr w:type="gramStart"/>
      <w:r w:rsidRPr="000F70A0">
        <w:t>immobilizzazioni</w:t>
      </w:r>
      <w:proofErr w:type="gramEnd"/>
      <w:r w:rsidRPr="000F70A0">
        <w:t xml:space="preserve"> finanziarie.</w:t>
      </w:r>
    </w:p>
    <w:p w:rsidR="007A5ECC" w:rsidRPr="000F70A0" w:rsidRDefault="007A5ECC" w:rsidP="00503AD7">
      <w:pPr>
        <w:numPr>
          <w:ilvl w:val="0"/>
          <w:numId w:val="64"/>
        </w:numPr>
        <w:tabs>
          <w:tab w:val="left" w:pos="360"/>
        </w:tabs>
        <w:ind w:left="360"/>
        <w:jc w:val="both"/>
        <w:rPr>
          <w:bCs/>
          <w:color w:val="000000"/>
        </w:rPr>
      </w:pPr>
      <w:r w:rsidRPr="000F70A0">
        <w:t>Le immobilizzazioni</w:t>
      </w:r>
      <w:r w:rsidRPr="000F70A0">
        <w:rPr>
          <w:bCs/>
          <w:color w:val="000000"/>
        </w:rPr>
        <w:t xml:space="preserve"> sono iscritte come prima voce dell’attivo dello Stato Patrimoniale.</w:t>
      </w:r>
    </w:p>
    <w:p w:rsidR="007A5ECC" w:rsidRDefault="007A5ECC" w:rsidP="00503AD7">
      <w:pPr>
        <w:pStyle w:val="Default"/>
        <w:spacing w:line="240" w:lineRule="auto"/>
        <w:rPr>
          <w:b/>
          <w:sz w:val="22"/>
          <w:szCs w:val="22"/>
        </w:rPr>
      </w:pPr>
    </w:p>
    <w:p w:rsidR="007A5ECC" w:rsidRPr="00A01248" w:rsidRDefault="007A5ECC" w:rsidP="00503AD7">
      <w:pPr>
        <w:pStyle w:val="Default"/>
        <w:spacing w:line="240" w:lineRule="auto"/>
        <w:rPr>
          <w:b/>
        </w:rPr>
      </w:pPr>
      <w:r w:rsidRPr="00A01248">
        <w:rPr>
          <w:b/>
        </w:rPr>
        <w:t xml:space="preserve">Art. 48 – Immobilizzazioni immateriali </w:t>
      </w:r>
    </w:p>
    <w:p w:rsidR="007A5ECC" w:rsidRPr="00A01248" w:rsidRDefault="007A5ECC" w:rsidP="00503AD7">
      <w:pPr>
        <w:pStyle w:val="Default"/>
        <w:spacing w:line="240" w:lineRule="auto"/>
        <w:rPr>
          <w:b/>
        </w:rPr>
      </w:pPr>
    </w:p>
    <w:p w:rsidR="007A5ECC" w:rsidRPr="00A01248" w:rsidRDefault="007A5ECC" w:rsidP="00503AD7">
      <w:pPr>
        <w:pStyle w:val="Default"/>
        <w:widowControl/>
        <w:numPr>
          <w:ilvl w:val="3"/>
          <w:numId w:val="22"/>
        </w:numPr>
        <w:tabs>
          <w:tab w:val="clear" w:pos="540"/>
          <w:tab w:val="num" w:pos="360"/>
        </w:tabs>
        <w:spacing w:line="240" w:lineRule="auto"/>
        <w:ind w:left="360"/>
        <w:textAlignment w:val="auto"/>
        <w:rPr>
          <w:bCs/>
        </w:rPr>
      </w:pPr>
      <w:r w:rsidRPr="00A01248">
        <w:rPr>
          <w:bCs/>
        </w:rPr>
        <w:t>Le immobilizzazioni immateriali, nel rispetto della normativa vigente, sono soggette a inventariazione, tranne che per importi singoli inferiori a quanto indicato nel Manuale di contabilità.</w:t>
      </w:r>
    </w:p>
    <w:p w:rsidR="007A5ECC" w:rsidRPr="00A01248" w:rsidRDefault="007A5ECC" w:rsidP="00503AD7">
      <w:pPr>
        <w:pStyle w:val="Default"/>
        <w:widowControl/>
        <w:numPr>
          <w:ilvl w:val="3"/>
          <w:numId w:val="22"/>
        </w:numPr>
        <w:tabs>
          <w:tab w:val="clear" w:pos="540"/>
          <w:tab w:val="num" w:pos="360"/>
        </w:tabs>
        <w:spacing w:line="240" w:lineRule="auto"/>
        <w:ind w:left="360"/>
        <w:textAlignment w:val="auto"/>
        <w:rPr>
          <w:bCs/>
        </w:rPr>
      </w:pPr>
      <w:r w:rsidRPr="00A01248">
        <w:rPr>
          <w:bCs/>
        </w:rPr>
        <w:t>Ai fini inventariali, si considerano immobilizzazioni immateriali:</w:t>
      </w:r>
    </w:p>
    <w:p w:rsidR="007A5ECC" w:rsidRPr="00A01248" w:rsidRDefault="007A5ECC" w:rsidP="00503AD7">
      <w:pPr>
        <w:pStyle w:val="Default"/>
        <w:widowControl/>
        <w:numPr>
          <w:ilvl w:val="4"/>
          <w:numId w:val="22"/>
        </w:numPr>
        <w:tabs>
          <w:tab w:val="clear" w:pos="3600"/>
          <w:tab w:val="num" w:pos="720"/>
        </w:tabs>
        <w:spacing w:line="240" w:lineRule="auto"/>
        <w:ind w:left="720"/>
        <w:textAlignment w:val="auto"/>
        <w:rPr>
          <w:bCs/>
        </w:rPr>
      </w:pPr>
      <w:proofErr w:type="gramStart"/>
      <w:r w:rsidRPr="00A01248">
        <w:rPr>
          <w:bCs/>
        </w:rPr>
        <w:t>diritti</w:t>
      </w:r>
      <w:proofErr w:type="gramEnd"/>
      <w:r w:rsidRPr="00A01248">
        <w:rPr>
          <w:bCs/>
        </w:rPr>
        <w:t xml:space="preserve"> di brevetto</w:t>
      </w:r>
    </w:p>
    <w:p w:rsidR="007A5ECC" w:rsidRPr="00A01248" w:rsidRDefault="007A5ECC" w:rsidP="00503AD7">
      <w:pPr>
        <w:pStyle w:val="Default"/>
        <w:widowControl/>
        <w:numPr>
          <w:ilvl w:val="4"/>
          <w:numId w:val="22"/>
        </w:numPr>
        <w:tabs>
          <w:tab w:val="clear" w:pos="3600"/>
          <w:tab w:val="num" w:pos="720"/>
        </w:tabs>
        <w:spacing w:line="240" w:lineRule="auto"/>
        <w:ind w:left="720"/>
        <w:textAlignment w:val="auto"/>
        <w:rPr>
          <w:bCs/>
        </w:rPr>
      </w:pPr>
      <w:proofErr w:type="gramStart"/>
      <w:r w:rsidRPr="00A01248">
        <w:rPr>
          <w:bCs/>
        </w:rPr>
        <w:t>diritti</w:t>
      </w:r>
      <w:proofErr w:type="gramEnd"/>
      <w:r w:rsidRPr="00A01248">
        <w:rPr>
          <w:bCs/>
        </w:rPr>
        <w:t xml:space="preserve"> di utilizzazione delle opere di ingegno</w:t>
      </w:r>
    </w:p>
    <w:p w:rsidR="007A5ECC" w:rsidRPr="00A01248" w:rsidRDefault="007A5ECC" w:rsidP="00503AD7">
      <w:pPr>
        <w:pStyle w:val="Default"/>
        <w:widowControl/>
        <w:numPr>
          <w:ilvl w:val="4"/>
          <w:numId w:val="22"/>
        </w:numPr>
        <w:tabs>
          <w:tab w:val="clear" w:pos="3600"/>
          <w:tab w:val="num" w:pos="720"/>
        </w:tabs>
        <w:spacing w:line="240" w:lineRule="auto"/>
        <w:ind w:left="720"/>
        <w:textAlignment w:val="auto"/>
        <w:rPr>
          <w:bCs/>
        </w:rPr>
      </w:pPr>
      <w:proofErr w:type="gramStart"/>
      <w:r w:rsidRPr="00A01248">
        <w:rPr>
          <w:bCs/>
        </w:rPr>
        <w:t>concessioni</w:t>
      </w:r>
      <w:proofErr w:type="gramEnd"/>
    </w:p>
    <w:p w:rsidR="007A5ECC" w:rsidRPr="00A01248" w:rsidRDefault="007A5ECC" w:rsidP="00503AD7">
      <w:pPr>
        <w:pStyle w:val="Default"/>
        <w:widowControl/>
        <w:numPr>
          <w:ilvl w:val="4"/>
          <w:numId w:val="22"/>
        </w:numPr>
        <w:tabs>
          <w:tab w:val="clear" w:pos="3600"/>
          <w:tab w:val="num" w:pos="720"/>
        </w:tabs>
        <w:spacing w:line="240" w:lineRule="auto"/>
        <w:ind w:left="720"/>
        <w:textAlignment w:val="auto"/>
        <w:rPr>
          <w:bCs/>
        </w:rPr>
      </w:pPr>
      <w:proofErr w:type="gramStart"/>
      <w:r w:rsidRPr="00A01248">
        <w:rPr>
          <w:bCs/>
        </w:rPr>
        <w:t>licenze</w:t>
      </w:r>
      <w:proofErr w:type="gramEnd"/>
    </w:p>
    <w:p w:rsidR="007A5ECC" w:rsidRPr="00A01248" w:rsidRDefault="007A5ECC" w:rsidP="00503AD7">
      <w:pPr>
        <w:pStyle w:val="Default"/>
        <w:widowControl/>
        <w:numPr>
          <w:ilvl w:val="4"/>
          <w:numId w:val="22"/>
        </w:numPr>
        <w:tabs>
          <w:tab w:val="clear" w:pos="3600"/>
          <w:tab w:val="num" w:pos="720"/>
        </w:tabs>
        <w:spacing w:line="240" w:lineRule="auto"/>
        <w:ind w:left="720"/>
        <w:textAlignment w:val="auto"/>
        <w:rPr>
          <w:bCs/>
        </w:rPr>
      </w:pPr>
      <w:proofErr w:type="gramStart"/>
      <w:r w:rsidRPr="00A01248">
        <w:rPr>
          <w:bCs/>
        </w:rPr>
        <w:t>marchi</w:t>
      </w:r>
      <w:proofErr w:type="gramEnd"/>
      <w:r w:rsidRPr="00A01248">
        <w:rPr>
          <w:bCs/>
        </w:rPr>
        <w:t xml:space="preserve"> registrati e altri assimilati</w:t>
      </w:r>
    </w:p>
    <w:p w:rsidR="007A5ECC" w:rsidRPr="00A01248" w:rsidRDefault="007A5ECC" w:rsidP="00503AD7">
      <w:pPr>
        <w:pStyle w:val="Default"/>
        <w:widowControl/>
        <w:numPr>
          <w:ilvl w:val="4"/>
          <w:numId w:val="22"/>
        </w:numPr>
        <w:tabs>
          <w:tab w:val="clear" w:pos="3600"/>
          <w:tab w:val="num" w:pos="720"/>
        </w:tabs>
        <w:spacing w:line="240" w:lineRule="auto"/>
        <w:ind w:left="720"/>
        <w:textAlignment w:val="auto"/>
        <w:rPr>
          <w:bCs/>
        </w:rPr>
      </w:pPr>
      <w:proofErr w:type="gramStart"/>
      <w:r w:rsidRPr="00A01248">
        <w:rPr>
          <w:bCs/>
        </w:rPr>
        <w:t>software</w:t>
      </w:r>
      <w:proofErr w:type="gramEnd"/>
      <w:r w:rsidRPr="00A01248">
        <w:rPr>
          <w:bCs/>
        </w:rPr>
        <w:t xml:space="preserve"> applicativi di proprietà del Politecnico</w:t>
      </w:r>
    </w:p>
    <w:p w:rsidR="007A5ECC" w:rsidRPr="00A01248" w:rsidRDefault="007A5ECC" w:rsidP="00503AD7">
      <w:pPr>
        <w:pStyle w:val="Default"/>
        <w:widowControl/>
        <w:numPr>
          <w:ilvl w:val="4"/>
          <w:numId w:val="22"/>
        </w:numPr>
        <w:tabs>
          <w:tab w:val="clear" w:pos="3600"/>
          <w:tab w:val="num" w:pos="720"/>
        </w:tabs>
        <w:spacing w:line="240" w:lineRule="auto"/>
        <w:ind w:left="720"/>
        <w:textAlignment w:val="auto"/>
        <w:rPr>
          <w:bCs/>
        </w:rPr>
      </w:pPr>
      <w:proofErr w:type="gramStart"/>
      <w:r w:rsidRPr="00A01248">
        <w:rPr>
          <w:bCs/>
        </w:rPr>
        <w:lastRenderedPageBreak/>
        <w:t>software</w:t>
      </w:r>
      <w:proofErr w:type="gramEnd"/>
      <w:r w:rsidRPr="00A01248">
        <w:rPr>
          <w:bCs/>
        </w:rPr>
        <w:t xml:space="preserve"> in licenza d’uso, relativamente al primo acquisto</w:t>
      </w:r>
    </w:p>
    <w:p w:rsidR="007A5ECC" w:rsidRPr="00A01248" w:rsidRDefault="007A5ECC" w:rsidP="00503AD7">
      <w:pPr>
        <w:pStyle w:val="Default"/>
        <w:widowControl/>
        <w:numPr>
          <w:ilvl w:val="4"/>
          <w:numId w:val="22"/>
        </w:numPr>
        <w:tabs>
          <w:tab w:val="clear" w:pos="3600"/>
          <w:tab w:val="num" w:pos="720"/>
        </w:tabs>
        <w:spacing w:line="240" w:lineRule="auto"/>
        <w:ind w:left="720"/>
        <w:textAlignment w:val="auto"/>
        <w:rPr>
          <w:bCs/>
        </w:rPr>
      </w:pPr>
      <w:proofErr w:type="gramStart"/>
      <w:r w:rsidRPr="00A01248">
        <w:rPr>
          <w:bCs/>
        </w:rPr>
        <w:t>tutti</w:t>
      </w:r>
      <w:proofErr w:type="gramEnd"/>
      <w:r w:rsidRPr="00A01248">
        <w:rPr>
          <w:bCs/>
        </w:rPr>
        <w:t xml:space="preserve"> quei beni che garantiscono la propria utilità nell’arco di più esercizi, e hanno la peculiarità di non essere tangibili.</w:t>
      </w:r>
    </w:p>
    <w:p w:rsidR="007A5ECC" w:rsidRDefault="007A5ECC" w:rsidP="00503AD7">
      <w:pPr>
        <w:pStyle w:val="Default"/>
        <w:spacing w:line="240" w:lineRule="auto"/>
        <w:rPr>
          <w:b/>
          <w:bCs/>
          <w:sz w:val="22"/>
          <w:szCs w:val="22"/>
        </w:rPr>
      </w:pPr>
    </w:p>
    <w:p w:rsidR="007A5ECC" w:rsidRPr="0056001A" w:rsidRDefault="007A5ECC" w:rsidP="00503AD7">
      <w:pPr>
        <w:pStyle w:val="Default"/>
        <w:spacing w:line="240" w:lineRule="auto"/>
        <w:rPr>
          <w:b/>
          <w:bCs/>
        </w:rPr>
      </w:pPr>
      <w:r w:rsidRPr="0056001A">
        <w:rPr>
          <w:b/>
          <w:bCs/>
        </w:rPr>
        <w:t>Art. 49 – Immobilizzazioni materiali</w:t>
      </w:r>
    </w:p>
    <w:p w:rsidR="007A5ECC" w:rsidRPr="0056001A" w:rsidRDefault="007A5ECC" w:rsidP="00503AD7">
      <w:pPr>
        <w:pStyle w:val="Default"/>
        <w:spacing w:line="240" w:lineRule="auto"/>
        <w:rPr>
          <w:b/>
          <w:bCs/>
        </w:rPr>
      </w:pPr>
    </w:p>
    <w:p w:rsidR="007A5ECC" w:rsidRPr="0056001A" w:rsidRDefault="007A5ECC" w:rsidP="00503AD7">
      <w:pPr>
        <w:pStyle w:val="Default"/>
        <w:widowControl/>
        <w:numPr>
          <w:ilvl w:val="0"/>
          <w:numId w:val="89"/>
        </w:numPr>
        <w:tabs>
          <w:tab w:val="clear" w:pos="720"/>
          <w:tab w:val="left" w:pos="360"/>
        </w:tabs>
        <w:spacing w:line="240" w:lineRule="auto"/>
        <w:ind w:left="360"/>
        <w:textAlignment w:val="auto"/>
        <w:rPr>
          <w:bCs/>
        </w:rPr>
      </w:pPr>
      <w:r w:rsidRPr="0056001A">
        <w:rPr>
          <w:bCs/>
        </w:rPr>
        <w:t>I beni materiali si distinguono in mobili e immobili, e sono individuati ai sensi dell’art. 812 c.c. Essi sono descritti e inseriti in separate sezioni inventariali, in conformità con le norme contenute nei successivi articoli.</w:t>
      </w:r>
    </w:p>
    <w:p w:rsidR="007A5ECC" w:rsidRPr="0056001A" w:rsidRDefault="007A5ECC" w:rsidP="00503AD7">
      <w:pPr>
        <w:pStyle w:val="Default"/>
        <w:widowControl/>
        <w:numPr>
          <w:ilvl w:val="0"/>
          <w:numId w:val="89"/>
        </w:numPr>
        <w:tabs>
          <w:tab w:val="clear" w:pos="720"/>
          <w:tab w:val="num" w:pos="360"/>
        </w:tabs>
        <w:spacing w:line="240" w:lineRule="auto"/>
        <w:ind w:left="360"/>
        <w:textAlignment w:val="auto"/>
        <w:rPr>
          <w:bCs/>
        </w:rPr>
      </w:pPr>
      <w:r w:rsidRPr="0056001A">
        <w:rPr>
          <w:bCs/>
        </w:rPr>
        <w:t>Le immobilizzazioni materiali sono classificate nelle seguenti categorie:</w:t>
      </w:r>
    </w:p>
    <w:p w:rsidR="007A5ECC" w:rsidRPr="0056001A" w:rsidRDefault="007A5ECC" w:rsidP="00503AD7">
      <w:pPr>
        <w:pStyle w:val="Default"/>
        <w:widowControl/>
        <w:numPr>
          <w:ilvl w:val="1"/>
          <w:numId w:val="89"/>
        </w:numPr>
        <w:tabs>
          <w:tab w:val="clear" w:pos="1440"/>
          <w:tab w:val="num" w:pos="720"/>
        </w:tabs>
        <w:spacing w:line="240" w:lineRule="auto"/>
        <w:ind w:left="720"/>
        <w:textAlignment w:val="auto"/>
        <w:rPr>
          <w:bCs/>
        </w:rPr>
      </w:pPr>
      <w:proofErr w:type="gramStart"/>
      <w:r w:rsidRPr="0056001A">
        <w:rPr>
          <w:bCs/>
        </w:rPr>
        <w:t>per</w:t>
      </w:r>
      <w:proofErr w:type="gramEnd"/>
      <w:r w:rsidRPr="0056001A">
        <w:rPr>
          <w:bCs/>
        </w:rPr>
        <w:t xml:space="preserve"> i beni immobili:</w:t>
      </w:r>
    </w:p>
    <w:p w:rsidR="007A5ECC" w:rsidRPr="0056001A" w:rsidRDefault="007A5ECC" w:rsidP="00503AD7">
      <w:pPr>
        <w:pStyle w:val="Default"/>
        <w:widowControl/>
        <w:numPr>
          <w:ilvl w:val="2"/>
          <w:numId w:val="89"/>
        </w:numPr>
        <w:tabs>
          <w:tab w:val="left" w:pos="1080"/>
        </w:tabs>
        <w:spacing w:line="240" w:lineRule="auto"/>
        <w:ind w:hanging="1440"/>
        <w:textAlignment w:val="auto"/>
        <w:rPr>
          <w:bCs/>
        </w:rPr>
      </w:pPr>
      <w:proofErr w:type="gramStart"/>
      <w:r w:rsidRPr="0056001A">
        <w:rPr>
          <w:bCs/>
        </w:rPr>
        <w:t>terreni</w:t>
      </w:r>
      <w:proofErr w:type="gramEnd"/>
      <w:r w:rsidRPr="0056001A">
        <w:rPr>
          <w:bCs/>
        </w:rPr>
        <w:t xml:space="preserve"> e fabbricati</w:t>
      </w:r>
    </w:p>
    <w:p w:rsidR="007A5ECC" w:rsidRPr="0056001A" w:rsidRDefault="007A5ECC" w:rsidP="00503AD7">
      <w:pPr>
        <w:pStyle w:val="Default"/>
        <w:widowControl/>
        <w:numPr>
          <w:ilvl w:val="1"/>
          <w:numId w:val="89"/>
        </w:numPr>
        <w:tabs>
          <w:tab w:val="left" w:pos="720"/>
        </w:tabs>
        <w:spacing w:line="240" w:lineRule="auto"/>
        <w:ind w:hanging="1080"/>
        <w:textAlignment w:val="auto"/>
        <w:rPr>
          <w:bCs/>
        </w:rPr>
      </w:pPr>
      <w:proofErr w:type="gramStart"/>
      <w:r w:rsidRPr="0056001A">
        <w:rPr>
          <w:bCs/>
        </w:rPr>
        <w:t>per</w:t>
      </w:r>
      <w:proofErr w:type="gramEnd"/>
      <w:r w:rsidRPr="0056001A">
        <w:rPr>
          <w:bCs/>
        </w:rPr>
        <w:t xml:space="preserve"> i beni mobili:</w:t>
      </w:r>
    </w:p>
    <w:p w:rsidR="007A5ECC" w:rsidRPr="0056001A" w:rsidRDefault="007A5ECC" w:rsidP="00503AD7">
      <w:pPr>
        <w:pStyle w:val="Default"/>
        <w:widowControl/>
        <w:numPr>
          <w:ilvl w:val="2"/>
          <w:numId w:val="89"/>
        </w:numPr>
        <w:tabs>
          <w:tab w:val="clear" w:pos="2160"/>
          <w:tab w:val="left" w:pos="720"/>
          <w:tab w:val="num" w:pos="1080"/>
        </w:tabs>
        <w:spacing w:line="240" w:lineRule="auto"/>
        <w:ind w:left="1080" w:hanging="360"/>
        <w:textAlignment w:val="auto"/>
        <w:rPr>
          <w:bCs/>
        </w:rPr>
      </w:pPr>
      <w:proofErr w:type="gramStart"/>
      <w:r w:rsidRPr="0056001A">
        <w:rPr>
          <w:bCs/>
        </w:rPr>
        <w:t>impianti</w:t>
      </w:r>
      <w:proofErr w:type="gramEnd"/>
      <w:r w:rsidRPr="0056001A">
        <w:rPr>
          <w:bCs/>
        </w:rPr>
        <w:t xml:space="preserve"> e macchinari (attrezzature informatiche, cablaggi, altri impianti, altre attrezzature)</w:t>
      </w:r>
    </w:p>
    <w:p w:rsidR="007A5ECC" w:rsidRPr="0056001A" w:rsidRDefault="007A5ECC" w:rsidP="00503AD7">
      <w:pPr>
        <w:pStyle w:val="Default"/>
        <w:widowControl/>
        <w:numPr>
          <w:ilvl w:val="2"/>
          <w:numId w:val="89"/>
        </w:numPr>
        <w:tabs>
          <w:tab w:val="clear" w:pos="2160"/>
          <w:tab w:val="left" w:pos="720"/>
          <w:tab w:val="num" w:pos="900"/>
          <w:tab w:val="left" w:pos="1080"/>
        </w:tabs>
        <w:spacing w:line="240" w:lineRule="auto"/>
        <w:ind w:left="900"/>
        <w:textAlignment w:val="auto"/>
        <w:rPr>
          <w:bCs/>
        </w:rPr>
      </w:pPr>
      <w:proofErr w:type="gramStart"/>
      <w:r w:rsidRPr="0056001A">
        <w:rPr>
          <w:bCs/>
        </w:rPr>
        <w:t>attrezzature</w:t>
      </w:r>
      <w:proofErr w:type="gramEnd"/>
      <w:r w:rsidRPr="0056001A">
        <w:rPr>
          <w:bCs/>
        </w:rPr>
        <w:t xml:space="preserve"> scientifiche</w:t>
      </w:r>
    </w:p>
    <w:p w:rsidR="007A5ECC" w:rsidRPr="0056001A" w:rsidRDefault="007A5ECC" w:rsidP="00503AD7">
      <w:pPr>
        <w:pStyle w:val="Default"/>
        <w:widowControl/>
        <w:numPr>
          <w:ilvl w:val="2"/>
          <w:numId w:val="89"/>
        </w:numPr>
        <w:tabs>
          <w:tab w:val="clear" w:pos="2160"/>
          <w:tab w:val="left" w:pos="720"/>
          <w:tab w:val="num" w:pos="900"/>
          <w:tab w:val="left" w:pos="1080"/>
        </w:tabs>
        <w:spacing w:line="240" w:lineRule="auto"/>
        <w:ind w:left="900"/>
        <w:textAlignment w:val="auto"/>
        <w:rPr>
          <w:bCs/>
        </w:rPr>
      </w:pPr>
      <w:proofErr w:type="gramStart"/>
      <w:r w:rsidRPr="0056001A">
        <w:rPr>
          <w:bCs/>
        </w:rPr>
        <w:t>mobili</w:t>
      </w:r>
      <w:proofErr w:type="gramEnd"/>
      <w:r w:rsidRPr="0056001A">
        <w:rPr>
          <w:bCs/>
        </w:rPr>
        <w:t xml:space="preserve"> e arredi</w:t>
      </w:r>
    </w:p>
    <w:p w:rsidR="007A5ECC" w:rsidRPr="0056001A" w:rsidRDefault="007A5ECC" w:rsidP="00503AD7">
      <w:pPr>
        <w:pStyle w:val="Default"/>
        <w:widowControl/>
        <w:numPr>
          <w:ilvl w:val="2"/>
          <w:numId w:val="89"/>
        </w:numPr>
        <w:tabs>
          <w:tab w:val="clear" w:pos="2160"/>
          <w:tab w:val="left" w:pos="720"/>
          <w:tab w:val="num" w:pos="900"/>
          <w:tab w:val="left" w:pos="1080"/>
        </w:tabs>
        <w:spacing w:line="240" w:lineRule="auto"/>
        <w:ind w:left="900"/>
        <w:textAlignment w:val="auto"/>
        <w:rPr>
          <w:bCs/>
        </w:rPr>
      </w:pPr>
      <w:proofErr w:type="gramStart"/>
      <w:r w:rsidRPr="0056001A">
        <w:rPr>
          <w:bCs/>
        </w:rPr>
        <w:t>altre</w:t>
      </w:r>
      <w:proofErr w:type="gramEnd"/>
      <w:r w:rsidRPr="0056001A">
        <w:rPr>
          <w:bCs/>
        </w:rPr>
        <w:t xml:space="preserve"> immobilizzazioni materiali</w:t>
      </w:r>
    </w:p>
    <w:p w:rsidR="007A5ECC" w:rsidRPr="0056001A" w:rsidRDefault="007A5ECC" w:rsidP="00503AD7">
      <w:pPr>
        <w:pStyle w:val="Default"/>
        <w:widowControl/>
        <w:numPr>
          <w:ilvl w:val="2"/>
          <w:numId w:val="89"/>
        </w:numPr>
        <w:tabs>
          <w:tab w:val="clear" w:pos="2160"/>
          <w:tab w:val="left" w:pos="720"/>
          <w:tab w:val="num" w:pos="900"/>
          <w:tab w:val="left" w:pos="1080"/>
        </w:tabs>
        <w:spacing w:line="240" w:lineRule="auto"/>
        <w:ind w:left="900"/>
        <w:textAlignment w:val="auto"/>
        <w:rPr>
          <w:bCs/>
        </w:rPr>
      </w:pPr>
      <w:proofErr w:type="gramStart"/>
      <w:r w:rsidRPr="0056001A">
        <w:rPr>
          <w:bCs/>
        </w:rPr>
        <w:t>immobilizzazioni</w:t>
      </w:r>
      <w:proofErr w:type="gramEnd"/>
      <w:r w:rsidRPr="0056001A">
        <w:rPr>
          <w:bCs/>
        </w:rPr>
        <w:t xml:space="preserve"> in corso.</w:t>
      </w:r>
    </w:p>
    <w:p w:rsidR="007A5ECC" w:rsidRDefault="007A5ECC" w:rsidP="00503AD7">
      <w:pPr>
        <w:pStyle w:val="Default"/>
        <w:spacing w:line="240" w:lineRule="auto"/>
        <w:rPr>
          <w:b/>
          <w:bCs/>
          <w:sz w:val="22"/>
          <w:szCs w:val="22"/>
        </w:rPr>
      </w:pPr>
    </w:p>
    <w:p w:rsidR="007A5ECC" w:rsidRPr="0056001A" w:rsidRDefault="007A5ECC" w:rsidP="00503AD7">
      <w:pPr>
        <w:pStyle w:val="Default"/>
        <w:spacing w:line="240" w:lineRule="auto"/>
        <w:rPr>
          <w:b/>
          <w:bCs/>
        </w:rPr>
      </w:pPr>
      <w:r w:rsidRPr="0056001A">
        <w:rPr>
          <w:b/>
          <w:bCs/>
        </w:rPr>
        <w:t>Art. 50 – Immobilizzazioni finanziarie</w:t>
      </w:r>
    </w:p>
    <w:p w:rsidR="007A5ECC" w:rsidRPr="0056001A" w:rsidRDefault="007A5ECC" w:rsidP="00503AD7">
      <w:pPr>
        <w:pStyle w:val="Default"/>
        <w:spacing w:line="240" w:lineRule="auto"/>
        <w:rPr>
          <w:b/>
          <w:bCs/>
        </w:rPr>
      </w:pPr>
    </w:p>
    <w:p w:rsidR="007A5ECC" w:rsidRPr="0056001A" w:rsidRDefault="007A5ECC" w:rsidP="00503AD7">
      <w:pPr>
        <w:pStyle w:val="Default"/>
        <w:widowControl/>
        <w:numPr>
          <w:ilvl w:val="2"/>
          <w:numId w:val="3"/>
        </w:numPr>
        <w:tabs>
          <w:tab w:val="clear" w:pos="3048"/>
          <w:tab w:val="num" w:pos="360"/>
        </w:tabs>
        <w:spacing w:line="240" w:lineRule="auto"/>
        <w:ind w:left="360"/>
        <w:textAlignment w:val="auto"/>
        <w:rPr>
          <w:bCs/>
        </w:rPr>
      </w:pPr>
      <w:r w:rsidRPr="0056001A">
        <w:rPr>
          <w:bCs/>
        </w:rPr>
        <w:t>Le immobilizzazioni finanziarie, nel rispetto della normativa vigente, sono costituite da partecipazioni, crediti e altri titoli, e non sono soggette a inventariazione.</w:t>
      </w:r>
    </w:p>
    <w:p w:rsidR="007A5ECC" w:rsidRPr="0056001A" w:rsidRDefault="007A5ECC" w:rsidP="00503AD7">
      <w:pPr>
        <w:pStyle w:val="Default"/>
        <w:widowControl/>
        <w:numPr>
          <w:ilvl w:val="2"/>
          <w:numId w:val="3"/>
        </w:numPr>
        <w:tabs>
          <w:tab w:val="clear" w:pos="3048"/>
          <w:tab w:val="num" w:pos="360"/>
        </w:tabs>
        <w:spacing w:line="240" w:lineRule="auto"/>
        <w:ind w:left="360"/>
        <w:textAlignment w:val="auto"/>
        <w:rPr>
          <w:bCs/>
        </w:rPr>
      </w:pPr>
      <w:r w:rsidRPr="0056001A">
        <w:rPr>
          <w:bCs/>
        </w:rPr>
        <w:t>Le attività finanziarie che non costituiscono immobilizzazioni, confluiscono nell’attivo circolante dello Stato Patrimoniale.</w:t>
      </w:r>
    </w:p>
    <w:p w:rsidR="007A5ECC" w:rsidRDefault="007A5ECC" w:rsidP="00503AD7">
      <w:pPr>
        <w:pStyle w:val="Default"/>
        <w:spacing w:line="240" w:lineRule="auto"/>
        <w:rPr>
          <w:b/>
          <w:bCs/>
          <w:sz w:val="22"/>
          <w:szCs w:val="22"/>
        </w:rPr>
      </w:pPr>
    </w:p>
    <w:p w:rsidR="007A5ECC" w:rsidRPr="0056001A" w:rsidRDefault="007A5ECC" w:rsidP="00503AD7">
      <w:pPr>
        <w:pStyle w:val="Default"/>
        <w:spacing w:line="240" w:lineRule="auto"/>
        <w:rPr>
          <w:b/>
          <w:bCs/>
        </w:rPr>
      </w:pPr>
      <w:r w:rsidRPr="0056001A">
        <w:rPr>
          <w:b/>
          <w:bCs/>
        </w:rPr>
        <w:t xml:space="preserve">Art. 51 – Criteri di iscrizione e di valutazione degli elementi patrimoniali </w:t>
      </w:r>
    </w:p>
    <w:p w:rsidR="007A5ECC" w:rsidRPr="0056001A" w:rsidRDefault="007A5ECC" w:rsidP="00503AD7">
      <w:pPr>
        <w:pStyle w:val="Default"/>
        <w:spacing w:line="240" w:lineRule="auto"/>
        <w:rPr>
          <w:b/>
          <w:bCs/>
        </w:rPr>
      </w:pPr>
    </w:p>
    <w:p w:rsidR="007A5ECC" w:rsidRPr="0056001A" w:rsidRDefault="007A5ECC" w:rsidP="00503AD7">
      <w:pPr>
        <w:pStyle w:val="Default"/>
        <w:widowControl/>
        <w:numPr>
          <w:ilvl w:val="0"/>
          <w:numId w:val="66"/>
        </w:numPr>
        <w:tabs>
          <w:tab w:val="clear" w:pos="3048"/>
          <w:tab w:val="num" w:pos="360"/>
        </w:tabs>
        <w:spacing w:line="240" w:lineRule="auto"/>
        <w:ind w:left="360"/>
        <w:textAlignment w:val="auto"/>
        <w:rPr>
          <w:bCs/>
        </w:rPr>
      </w:pPr>
      <w:r w:rsidRPr="0056001A">
        <w:rPr>
          <w:bCs/>
        </w:rPr>
        <w:t>I criteri di iscrizione e di valutazione degli elementi patrimoniali attivi e passivi sono definiti in base alla normativa vigente, e nel Manuale di Contabilità.</w:t>
      </w:r>
    </w:p>
    <w:p w:rsidR="007A5ECC" w:rsidRPr="0056001A" w:rsidRDefault="007A5ECC" w:rsidP="00503AD7">
      <w:pPr>
        <w:pStyle w:val="Default"/>
        <w:spacing w:line="240" w:lineRule="auto"/>
        <w:rPr>
          <w:b/>
          <w:bCs/>
        </w:rPr>
      </w:pPr>
    </w:p>
    <w:p w:rsidR="007A5ECC" w:rsidRPr="0056001A" w:rsidRDefault="007A5ECC" w:rsidP="00503AD7">
      <w:pPr>
        <w:pStyle w:val="Default"/>
        <w:spacing w:line="240" w:lineRule="auto"/>
        <w:rPr>
          <w:b/>
          <w:bCs/>
        </w:rPr>
      </w:pPr>
      <w:r w:rsidRPr="0056001A">
        <w:rPr>
          <w:b/>
          <w:bCs/>
        </w:rPr>
        <w:t>Art. 52 – Ammortamento delle immobilizzazioni</w:t>
      </w:r>
    </w:p>
    <w:p w:rsidR="007A5ECC" w:rsidRPr="0056001A" w:rsidRDefault="007A5ECC" w:rsidP="00503AD7">
      <w:pPr>
        <w:pStyle w:val="Default"/>
        <w:spacing w:line="240" w:lineRule="auto"/>
        <w:rPr>
          <w:b/>
          <w:bCs/>
        </w:rPr>
      </w:pPr>
    </w:p>
    <w:p w:rsidR="007A5ECC" w:rsidRPr="0056001A" w:rsidRDefault="007A5ECC" w:rsidP="00503AD7">
      <w:pPr>
        <w:pStyle w:val="Default"/>
        <w:widowControl/>
        <w:numPr>
          <w:ilvl w:val="0"/>
          <w:numId w:val="65"/>
        </w:numPr>
        <w:tabs>
          <w:tab w:val="clear" w:pos="3048"/>
          <w:tab w:val="num" w:pos="360"/>
        </w:tabs>
        <w:spacing w:line="240" w:lineRule="auto"/>
        <w:ind w:left="360"/>
        <w:textAlignment w:val="auto"/>
        <w:rPr>
          <w:bCs/>
        </w:rPr>
      </w:pPr>
      <w:r w:rsidRPr="0056001A">
        <w:rPr>
          <w:bCs/>
        </w:rPr>
        <w:t>Le immobilizzazioni materiali e immateriali, la cui utilizzazione è limitata nel tempo, devono essere sistematicamente ammortizzate, secondo i criteri fiscali, in ogni esercizio in relazione alla residua possibilità di utilizzo.</w:t>
      </w:r>
    </w:p>
    <w:p w:rsidR="007A5ECC" w:rsidRPr="0056001A" w:rsidRDefault="007A5ECC" w:rsidP="00503AD7">
      <w:pPr>
        <w:pStyle w:val="Default"/>
        <w:widowControl/>
        <w:numPr>
          <w:ilvl w:val="0"/>
          <w:numId w:val="65"/>
        </w:numPr>
        <w:tabs>
          <w:tab w:val="clear" w:pos="3048"/>
          <w:tab w:val="num" w:pos="360"/>
        </w:tabs>
        <w:spacing w:line="240" w:lineRule="auto"/>
        <w:ind w:left="360"/>
        <w:textAlignment w:val="auto"/>
        <w:rPr>
          <w:bCs/>
        </w:rPr>
      </w:pPr>
      <w:r w:rsidRPr="0056001A">
        <w:rPr>
          <w:bCs/>
        </w:rPr>
        <w:t>Nel Manuale di Contabilità sono esplicitati i criteri e le modalità di calcolo dell’ammortamento.</w:t>
      </w:r>
    </w:p>
    <w:p w:rsidR="007A5ECC" w:rsidRDefault="007A5ECC" w:rsidP="00503AD7">
      <w:pPr>
        <w:pStyle w:val="Default"/>
        <w:spacing w:line="240" w:lineRule="auto"/>
        <w:rPr>
          <w:b/>
          <w:bCs/>
          <w:sz w:val="22"/>
          <w:szCs w:val="22"/>
        </w:rPr>
      </w:pPr>
    </w:p>
    <w:p w:rsidR="007A5ECC" w:rsidRPr="0056001A" w:rsidRDefault="007A5ECC" w:rsidP="00503AD7">
      <w:pPr>
        <w:pStyle w:val="Default"/>
        <w:spacing w:line="240" w:lineRule="auto"/>
        <w:rPr>
          <w:b/>
          <w:bCs/>
        </w:rPr>
      </w:pPr>
      <w:r w:rsidRPr="0056001A">
        <w:rPr>
          <w:b/>
          <w:bCs/>
        </w:rPr>
        <w:t>Art. 53 – Inventario dei beni</w:t>
      </w:r>
    </w:p>
    <w:p w:rsidR="007A5ECC" w:rsidRPr="0056001A" w:rsidRDefault="007A5ECC" w:rsidP="00503AD7">
      <w:pPr>
        <w:pStyle w:val="Default"/>
        <w:spacing w:line="240" w:lineRule="auto"/>
        <w:rPr>
          <w:b/>
          <w:bCs/>
        </w:rPr>
      </w:pPr>
    </w:p>
    <w:p w:rsidR="007A5ECC" w:rsidRPr="0056001A" w:rsidRDefault="007A5ECC" w:rsidP="00503AD7">
      <w:pPr>
        <w:pStyle w:val="Default"/>
        <w:widowControl/>
        <w:numPr>
          <w:ilvl w:val="0"/>
          <w:numId w:val="67"/>
        </w:numPr>
        <w:tabs>
          <w:tab w:val="clear" w:pos="3048"/>
          <w:tab w:val="num" w:pos="360"/>
        </w:tabs>
        <w:spacing w:line="240" w:lineRule="auto"/>
        <w:ind w:left="360"/>
        <w:textAlignment w:val="auto"/>
        <w:rPr>
          <w:bCs/>
        </w:rPr>
      </w:pPr>
      <w:r w:rsidRPr="0056001A">
        <w:rPr>
          <w:bCs/>
        </w:rPr>
        <w:t>Ai fini dell’inventariazione, le immobilizzazioni materiali si distinguono in beni immobili e beni mobili. I beni immobili, i beni mobili, nonché il patrimonio librario, sono descritti in separati inventari.</w:t>
      </w:r>
    </w:p>
    <w:p w:rsidR="007A5ECC" w:rsidRPr="0056001A" w:rsidRDefault="007A5ECC" w:rsidP="00503AD7">
      <w:pPr>
        <w:pStyle w:val="Default"/>
        <w:widowControl/>
        <w:numPr>
          <w:ilvl w:val="0"/>
          <w:numId w:val="67"/>
        </w:numPr>
        <w:tabs>
          <w:tab w:val="clear" w:pos="3048"/>
          <w:tab w:val="num" w:pos="360"/>
        </w:tabs>
        <w:spacing w:line="240" w:lineRule="auto"/>
        <w:ind w:left="360"/>
        <w:textAlignment w:val="auto"/>
        <w:rPr>
          <w:bCs/>
        </w:rPr>
      </w:pPr>
      <w:r w:rsidRPr="0056001A">
        <w:rPr>
          <w:bCs/>
        </w:rPr>
        <w:t>L’inventario dei beni mobili deve contenere le seguenti indicazioni:</w:t>
      </w:r>
    </w:p>
    <w:p w:rsidR="007A5ECC" w:rsidRPr="0056001A" w:rsidRDefault="007A5ECC" w:rsidP="00503AD7">
      <w:pPr>
        <w:pStyle w:val="Default"/>
        <w:widowControl/>
        <w:numPr>
          <w:ilvl w:val="1"/>
          <w:numId w:val="67"/>
        </w:numPr>
        <w:tabs>
          <w:tab w:val="clear" w:pos="1440"/>
          <w:tab w:val="num" w:pos="720"/>
        </w:tabs>
        <w:spacing w:line="240" w:lineRule="auto"/>
        <w:ind w:hanging="1080"/>
        <w:textAlignment w:val="auto"/>
        <w:rPr>
          <w:bCs/>
        </w:rPr>
      </w:pPr>
      <w:proofErr w:type="gramStart"/>
      <w:r w:rsidRPr="0056001A">
        <w:rPr>
          <w:bCs/>
        </w:rPr>
        <w:t>la</w:t>
      </w:r>
      <w:proofErr w:type="gramEnd"/>
      <w:r w:rsidRPr="0056001A">
        <w:rPr>
          <w:bCs/>
        </w:rPr>
        <w:t xml:space="preserve"> denominazione e la descrizione secondo la natura e la specie</w:t>
      </w:r>
    </w:p>
    <w:p w:rsidR="007A5ECC" w:rsidRPr="0056001A" w:rsidRDefault="007A5ECC" w:rsidP="00503AD7">
      <w:pPr>
        <w:pStyle w:val="Default"/>
        <w:widowControl/>
        <w:numPr>
          <w:ilvl w:val="1"/>
          <w:numId w:val="67"/>
        </w:numPr>
        <w:tabs>
          <w:tab w:val="clear" w:pos="1440"/>
          <w:tab w:val="num" w:pos="720"/>
        </w:tabs>
        <w:spacing w:line="240" w:lineRule="auto"/>
        <w:ind w:hanging="1080"/>
        <w:textAlignment w:val="auto"/>
        <w:rPr>
          <w:bCs/>
        </w:rPr>
      </w:pPr>
      <w:proofErr w:type="gramStart"/>
      <w:r w:rsidRPr="0056001A">
        <w:rPr>
          <w:bCs/>
        </w:rPr>
        <w:t>la</w:t>
      </w:r>
      <w:proofErr w:type="gramEnd"/>
      <w:r w:rsidRPr="0056001A">
        <w:rPr>
          <w:bCs/>
        </w:rPr>
        <w:t xml:space="preserve"> collocazione e il consegnatario</w:t>
      </w:r>
    </w:p>
    <w:p w:rsidR="007A5ECC" w:rsidRPr="0056001A" w:rsidRDefault="007A5ECC" w:rsidP="00503AD7">
      <w:pPr>
        <w:pStyle w:val="Default"/>
        <w:widowControl/>
        <w:numPr>
          <w:ilvl w:val="1"/>
          <w:numId w:val="67"/>
        </w:numPr>
        <w:tabs>
          <w:tab w:val="clear" w:pos="1440"/>
          <w:tab w:val="num" w:pos="720"/>
        </w:tabs>
        <w:spacing w:line="240" w:lineRule="auto"/>
        <w:ind w:hanging="1080"/>
        <w:textAlignment w:val="auto"/>
        <w:rPr>
          <w:bCs/>
        </w:rPr>
      </w:pPr>
      <w:proofErr w:type="gramStart"/>
      <w:r w:rsidRPr="0056001A">
        <w:rPr>
          <w:bCs/>
        </w:rPr>
        <w:t>la</w:t>
      </w:r>
      <w:proofErr w:type="gramEnd"/>
      <w:r w:rsidRPr="0056001A">
        <w:rPr>
          <w:bCs/>
        </w:rPr>
        <w:t xml:space="preserve"> categoria cui appartiene</w:t>
      </w:r>
    </w:p>
    <w:p w:rsidR="007A5ECC" w:rsidRPr="0056001A" w:rsidRDefault="007A5ECC" w:rsidP="00503AD7">
      <w:pPr>
        <w:pStyle w:val="Default"/>
        <w:widowControl/>
        <w:numPr>
          <w:ilvl w:val="1"/>
          <w:numId w:val="67"/>
        </w:numPr>
        <w:tabs>
          <w:tab w:val="clear" w:pos="1440"/>
          <w:tab w:val="num" w:pos="720"/>
        </w:tabs>
        <w:spacing w:line="240" w:lineRule="auto"/>
        <w:ind w:hanging="1080"/>
        <w:textAlignment w:val="auto"/>
        <w:rPr>
          <w:bCs/>
        </w:rPr>
      </w:pPr>
      <w:proofErr w:type="gramStart"/>
      <w:r w:rsidRPr="0056001A">
        <w:rPr>
          <w:bCs/>
        </w:rPr>
        <w:t>il</w:t>
      </w:r>
      <w:proofErr w:type="gramEnd"/>
      <w:r w:rsidRPr="0056001A">
        <w:rPr>
          <w:bCs/>
        </w:rPr>
        <w:t xml:space="preserve"> centro di responsabilità/centro di costo</w:t>
      </w:r>
    </w:p>
    <w:p w:rsidR="007A5ECC" w:rsidRPr="0056001A" w:rsidRDefault="007A5ECC" w:rsidP="00503AD7">
      <w:pPr>
        <w:pStyle w:val="Default"/>
        <w:widowControl/>
        <w:numPr>
          <w:ilvl w:val="1"/>
          <w:numId w:val="67"/>
        </w:numPr>
        <w:tabs>
          <w:tab w:val="clear" w:pos="1440"/>
          <w:tab w:val="num" w:pos="720"/>
        </w:tabs>
        <w:spacing w:line="240" w:lineRule="auto"/>
        <w:ind w:hanging="1080"/>
        <w:textAlignment w:val="auto"/>
        <w:rPr>
          <w:bCs/>
        </w:rPr>
      </w:pPr>
      <w:proofErr w:type="gramStart"/>
      <w:r w:rsidRPr="0056001A">
        <w:rPr>
          <w:bCs/>
        </w:rPr>
        <w:lastRenderedPageBreak/>
        <w:t>il</w:t>
      </w:r>
      <w:proofErr w:type="gramEnd"/>
      <w:r w:rsidRPr="0056001A">
        <w:rPr>
          <w:bCs/>
        </w:rPr>
        <w:t xml:space="preserve"> tipo di carico</w:t>
      </w:r>
    </w:p>
    <w:p w:rsidR="007A5ECC" w:rsidRPr="0056001A" w:rsidRDefault="007A5ECC" w:rsidP="00503AD7">
      <w:pPr>
        <w:pStyle w:val="Default"/>
        <w:widowControl/>
        <w:numPr>
          <w:ilvl w:val="1"/>
          <w:numId w:val="67"/>
        </w:numPr>
        <w:tabs>
          <w:tab w:val="clear" w:pos="1440"/>
          <w:tab w:val="num" w:pos="720"/>
        </w:tabs>
        <w:spacing w:line="240" w:lineRule="auto"/>
        <w:ind w:hanging="1080"/>
        <w:textAlignment w:val="auto"/>
        <w:rPr>
          <w:bCs/>
        </w:rPr>
      </w:pPr>
      <w:proofErr w:type="gramStart"/>
      <w:r w:rsidRPr="0056001A">
        <w:rPr>
          <w:bCs/>
        </w:rPr>
        <w:t>il</w:t>
      </w:r>
      <w:proofErr w:type="gramEnd"/>
      <w:r w:rsidRPr="0056001A">
        <w:rPr>
          <w:bCs/>
        </w:rPr>
        <w:t xml:space="preserve"> nome del fornitore, numero di fattura e data</w:t>
      </w:r>
    </w:p>
    <w:p w:rsidR="007A5ECC" w:rsidRPr="0056001A" w:rsidRDefault="007A5ECC" w:rsidP="00503AD7">
      <w:pPr>
        <w:pStyle w:val="Default"/>
        <w:widowControl/>
        <w:numPr>
          <w:ilvl w:val="1"/>
          <w:numId w:val="67"/>
        </w:numPr>
        <w:tabs>
          <w:tab w:val="clear" w:pos="1440"/>
          <w:tab w:val="num" w:pos="720"/>
        </w:tabs>
        <w:spacing w:line="240" w:lineRule="auto"/>
        <w:ind w:hanging="1080"/>
        <w:textAlignment w:val="auto"/>
        <w:rPr>
          <w:bCs/>
        </w:rPr>
      </w:pPr>
      <w:proofErr w:type="gramStart"/>
      <w:r w:rsidRPr="0056001A">
        <w:rPr>
          <w:bCs/>
        </w:rPr>
        <w:t>il</w:t>
      </w:r>
      <w:proofErr w:type="gramEnd"/>
      <w:r w:rsidRPr="0056001A">
        <w:rPr>
          <w:bCs/>
        </w:rPr>
        <w:t xml:space="preserve"> valore di acquisizione e i successivi adeguamenti e variazioni</w:t>
      </w:r>
    </w:p>
    <w:p w:rsidR="007A5ECC" w:rsidRPr="0056001A" w:rsidRDefault="007A5ECC" w:rsidP="00503AD7">
      <w:pPr>
        <w:pStyle w:val="Default"/>
        <w:widowControl/>
        <w:numPr>
          <w:ilvl w:val="1"/>
          <w:numId w:val="67"/>
        </w:numPr>
        <w:tabs>
          <w:tab w:val="clear" w:pos="1440"/>
          <w:tab w:val="num" w:pos="720"/>
        </w:tabs>
        <w:spacing w:line="240" w:lineRule="auto"/>
        <w:ind w:hanging="1080"/>
        <w:textAlignment w:val="auto"/>
        <w:rPr>
          <w:bCs/>
        </w:rPr>
      </w:pPr>
      <w:proofErr w:type="gramStart"/>
      <w:r w:rsidRPr="0056001A">
        <w:rPr>
          <w:bCs/>
        </w:rPr>
        <w:t>la</w:t>
      </w:r>
      <w:proofErr w:type="gramEnd"/>
      <w:r w:rsidRPr="0056001A">
        <w:rPr>
          <w:bCs/>
        </w:rPr>
        <w:t xml:space="preserve"> quantità</w:t>
      </w:r>
    </w:p>
    <w:p w:rsidR="007A5ECC" w:rsidRPr="0056001A" w:rsidRDefault="007A5ECC" w:rsidP="00503AD7">
      <w:pPr>
        <w:pStyle w:val="Default"/>
        <w:widowControl/>
        <w:numPr>
          <w:ilvl w:val="1"/>
          <w:numId w:val="67"/>
        </w:numPr>
        <w:tabs>
          <w:tab w:val="clear" w:pos="1440"/>
          <w:tab w:val="num" w:pos="720"/>
        </w:tabs>
        <w:spacing w:line="240" w:lineRule="auto"/>
        <w:ind w:hanging="1080"/>
        <w:textAlignment w:val="auto"/>
        <w:rPr>
          <w:bCs/>
        </w:rPr>
      </w:pPr>
      <w:proofErr w:type="gramStart"/>
      <w:r w:rsidRPr="0056001A">
        <w:rPr>
          <w:bCs/>
        </w:rPr>
        <w:t>il</w:t>
      </w:r>
      <w:proofErr w:type="gramEnd"/>
      <w:r w:rsidRPr="0056001A">
        <w:rPr>
          <w:bCs/>
        </w:rPr>
        <w:t xml:space="preserve"> numero progressivo d’inventario.</w:t>
      </w:r>
    </w:p>
    <w:p w:rsidR="007A5ECC" w:rsidRPr="0056001A" w:rsidRDefault="007A5ECC" w:rsidP="00503AD7">
      <w:pPr>
        <w:pStyle w:val="Default"/>
        <w:widowControl/>
        <w:numPr>
          <w:ilvl w:val="0"/>
          <w:numId w:val="67"/>
        </w:numPr>
        <w:tabs>
          <w:tab w:val="clear" w:pos="3048"/>
          <w:tab w:val="num" w:pos="360"/>
        </w:tabs>
        <w:spacing w:line="240" w:lineRule="auto"/>
        <w:ind w:left="360"/>
        <w:textAlignment w:val="auto"/>
        <w:rPr>
          <w:bCs/>
        </w:rPr>
      </w:pPr>
      <w:r w:rsidRPr="0056001A">
        <w:rPr>
          <w:bCs/>
        </w:rPr>
        <w:t>Non sono iscritti in inventario, i beni espressamente indicati nel Regolamento per l’inventario dei beni.</w:t>
      </w:r>
    </w:p>
    <w:p w:rsidR="007A5ECC" w:rsidRDefault="007A5ECC" w:rsidP="00503AD7">
      <w:pPr>
        <w:autoSpaceDE w:val="0"/>
        <w:autoSpaceDN w:val="0"/>
        <w:adjustRightInd w:val="0"/>
        <w:jc w:val="both"/>
        <w:rPr>
          <w:b/>
          <w:color w:val="000000"/>
        </w:rPr>
      </w:pPr>
    </w:p>
    <w:p w:rsidR="007A5ECC" w:rsidRDefault="007A5ECC" w:rsidP="00503AD7">
      <w:pPr>
        <w:autoSpaceDE w:val="0"/>
        <w:autoSpaceDN w:val="0"/>
        <w:adjustRightInd w:val="0"/>
        <w:jc w:val="both"/>
        <w:rPr>
          <w:b/>
          <w:color w:val="000000"/>
        </w:rPr>
      </w:pPr>
      <w:r w:rsidRPr="000F70A0">
        <w:rPr>
          <w:b/>
          <w:color w:val="000000"/>
        </w:rPr>
        <w:t>Art. 54 – Consegnatario, sub-consegnatario, responsabile degli spazi</w:t>
      </w:r>
    </w:p>
    <w:p w:rsidR="007A5ECC" w:rsidRPr="000F70A0" w:rsidRDefault="007A5ECC" w:rsidP="00503AD7">
      <w:pPr>
        <w:autoSpaceDE w:val="0"/>
        <w:autoSpaceDN w:val="0"/>
        <w:adjustRightInd w:val="0"/>
        <w:jc w:val="both"/>
        <w:rPr>
          <w:b/>
          <w:color w:val="000000"/>
        </w:rPr>
      </w:pPr>
    </w:p>
    <w:p w:rsidR="007A5ECC" w:rsidRPr="000F70A0" w:rsidRDefault="007A5ECC" w:rsidP="00503AD7">
      <w:pPr>
        <w:numPr>
          <w:ilvl w:val="0"/>
          <w:numId w:val="90"/>
        </w:numPr>
        <w:tabs>
          <w:tab w:val="clear" w:pos="720"/>
          <w:tab w:val="num" w:pos="360"/>
        </w:tabs>
        <w:autoSpaceDE w:val="0"/>
        <w:autoSpaceDN w:val="0"/>
        <w:adjustRightInd w:val="0"/>
        <w:ind w:left="360"/>
        <w:jc w:val="both"/>
        <w:rPr>
          <w:color w:val="000000"/>
        </w:rPr>
      </w:pPr>
      <w:r w:rsidRPr="000F70A0">
        <w:rPr>
          <w:color w:val="000000"/>
        </w:rPr>
        <w:t>Il consegnatario è il soggetto sul quale grava l’onere relativo alla tutela dei beni affidatigli in consegna, che ha il compito di custodire i beni affidatigli, di conservarli e di usarli correttamente, e che è personalmente responsabile di qualsiasi danno al bene possa derivare da sue azioni od omissioni, fino al momento in cui il bene viene trasferito ad altro consegnatario ovvero viene scaricato, salvo i casi fortuiti o di forza maggiore.</w:t>
      </w:r>
    </w:p>
    <w:p w:rsidR="007A5ECC" w:rsidRPr="000F70A0" w:rsidRDefault="007A5ECC" w:rsidP="00503AD7">
      <w:pPr>
        <w:numPr>
          <w:ilvl w:val="0"/>
          <w:numId w:val="90"/>
        </w:numPr>
        <w:tabs>
          <w:tab w:val="clear" w:pos="720"/>
          <w:tab w:val="num" w:pos="360"/>
        </w:tabs>
        <w:autoSpaceDE w:val="0"/>
        <w:autoSpaceDN w:val="0"/>
        <w:adjustRightInd w:val="0"/>
        <w:ind w:left="360"/>
        <w:jc w:val="both"/>
        <w:rPr>
          <w:color w:val="000000"/>
        </w:rPr>
      </w:pPr>
      <w:r w:rsidRPr="000F70A0">
        <w:rPr>
          <w:color w:val="000000"/>
        </w:rPr>
        <w:t>Sono agenti consegnatari dei beni immobili che rientrano nella loro disponibilità, il Direttore Generale, i Direttori dei Dipartimenti,</w:t>
      </w:r>
      <w:r>
        <w:rPr>
          <w:color w:val="000000"/>
        </w:rPr>
        <w:t xml:space="preserve"> il Presidente del Centro autonomo di Gestione.</w:t>
      </w:r>
      <w:r w:rsidRPr="000F70A0">
        <w:rPr>
          <w:color w:val="000000"/>
        </w:rPr>
        <w:t xml:space="preserve"> </w:t>
      </w:r>
      <w:proofErr w:type="gramStart"/>
      <w:r w:rsidRPr="000F70A0">
        <w:rPr>
          <w:color w:val="000000"/>
        </w:rPr>
        <w:t>i</w:t>
      </w:r>
      <w:proofErr w:type="gramEnd"/>
      <w:r w:rsidRPr="000F70A0">
        <w:rPr>
          <w:color w:val="000000"/>
        </w:rPr>
        <w:t xml:space="preserve"> Responsabili delle Strutture dirigenziali e i Responsabili dei Servizi. Gli stessi sono agenti consegnatari dei beni mobili conservati all’interno degli spazi loro affidati.</w:t>
      </w:r>
    </w:p>
    <w:p w:rsidR="007A5ECC" w:rsidRPr="000F70A0" w:rsidRDefault="007A5ECC" w:rsidP="00503AD7">
      <w:pPr>
        <w:numPr>
          <w:ilvl w:val="0"/>
          <w:numId w:val="90"/>
        </w:numPr>
        <w:tabs>
          <w:tab w:val="clear" w:pos="720"/>
          <w:tab w:val="num" w:pos="360"/>
        </w:tabs>
        <w:autoSpaceDE w:val="0"/>
        <w:autoSpaceDN w:val="0"/>
        <w:adjustRightInd w:val="0"/>
        <w:ind w:left="360"/>
        <w:jc w:val="both"/>
        <w:rPr>
          <w:color w:val="000000"/>
        </w:rPr>
      </w:pPr>
      <w:r w:rsidRPr="000F70A0">
        <w:rPr>
          <w:color w:val="000000"/>
        </w:rPr>
        <w:t>Gli agenti consegnatari possono, per esigenze operative e per esercitare un più efficiente controllo dei beni, individuare sub-consegnatari degli spazi e di conseguenza dei beni in essi contenuti.</w:t>
      </w:r>
    </w:p>
    <w:p w:rsidR="007A5ECC" w:rsidRDefault="007A5ECC" w:rsidP="00503AD7">
      <w:pPr>
        <w:autoSpaceDE w:val="0"/>
        <w:autoSpaceDN w:val="0"/>
        <w:adjustRightInd w:val="0"/>
        <w:jc w:val="both"/>
        <w:rPr>
          <w:b/>
          <w:color w:val="000000"/>
        </w:rPr>
      </w:pPr>
    </w:p>
    <w:p w:rsidR="007A5ECC" w:rsidRDefault="007A5ECC" w:rsidP="00503AD7">
      <w:pPr>
        <w:autoSpaceDE w:val="0"/>
        <w:autoSpaceDN w:val="0"/>
        <w:adjustRightInd w:val="0"/>
        <w:jc w:val="both"/>
        <w:rPr>
          <w:b/>
          <w:color w:val="000000"/>
        </w:rPr>
      </w:pPr>
      <w:r w:rsidRPr="000F70A0">
        <w:rPr>
          <w:b/>
          <w:color w:val="000000"/>
        </w:rPr>
        <w:t>Art. 55 – Carico e scarico dei beni</w:t>
      </w:r>
    </w:p>
    <w:p w:rsidR="007A5ECC" w:rsidRPr="000F70A0" w:rsidRDefault="007A5ECC" w:rsidP="00503AD7">
      <w:pPr>
        <w:autoSpaceDE w:val="0"/>
        <w:autoSpaceDN w:val="0"/>
        <w:adjustRightInd w:val="0"/>
        <w:jc w:val="both"/>
        <w:rPr>
          <w:b/>
          <w:color w:val="000000"/>
        </w:rPr>
      </w:pPr>
    </w:p>
    <w:p w:rsidR="007A5ECC" w:rsidRPr="000F70A0" w:rsidRDefault="007A5ECC" w:rsidP="00503AD7">
      <w:pPr>
        <w:numPr>
          <w:ilvl w:val="0"/>
          <w:numId w:val="91"/>
        </w:numPr>
        <w:tabs>
          <w:tab w:val="clear" w:pos="720"/>
          <w:tab w:val="num" w:pos="360"/>
        </w:tabs>
        <w:ind w:left="360"/>
        <w:jc w:val="both"/>
        <w:rPr>
          <w:color w:val="000000"/>
        </w:rPr>
      </w:pPr>
      <w:r w:rsidRPr="000F70A0">
        <w:rPr>
          <w:color w:val="000000"/>
        </w:rPr>
        <w:t>I beni sono inventariati sulla base di buoni di carico e firmati dal consegnatario.</w:t>
      </w:r>
    </w:p>
    <w:p w:rsidR="007A5ECC" w:rsidRPr="000F70A0" w:rsidRDefault="007A5ECC" w:rsidP="00503AD7">
      <w:pPr>
        <w:numPr>
          <w:ilvl w:val="0"/>
          <w:numId w:val="91"/>
        </w:numPr>
        <w:tabs>
          <w:tab w:val="clear" w:pos="720"/>
          <w:tab w:val="num" w:pos="360"/>
        </w:tabs>
        <w:ind w:left="360"/>
        <w:jc w:val="both"/>
        <w:rPr>
          <w:color w:val="000000"/>
        </w:rPr>
      </w:pPr>
      <w:r w:rsidRPr="000F70A0">
        <w:rPr>
          <w:color w:val="000000"/>
        </w:rPr>
        <w:t>Le operazioni di scarico dagli inventari sono di competenza del Direttore Generale, qualora i beni abbiano un valore unitario inferiore o uguale a Euro 5.000,00, ovvero del Consiglio di Amministrazione in caso di valore superiore.</w:t>
      </w:r>
    </w:p>
    <w:p w:rsidR="007A5ECC" w:rsidRPr="000F70A0" w:rsidRDefault="007A5ECC" w:rsidP="00503AD7">
      <w:pPr>
        <w:numPr>
          <w:ilvl w:val="0"/>
          <w:numId w:val="91"/>
        </w:numPr>
        <w:tabs>
          <w:tab w:val="clear" w:pos="720"/>
          <w:tab w:val="num" w:pos="360"/>
        </w:tabs>
        <w:ind w:left="360"/>
        <w:jc w:val="both"/>
        <w:rPr>
          <w:color w:val="000000"/>
        </w:rPr>
      </w:pPr>
      <w:r w:rsidRPr="000F70A0">
        <w:rPr>
          <w:color w:val="000000"/>
        </w:rPr>
        <w:t>L’aggiornamento delle scritture patrimoniali è effettuato sulla base dei buoni di carico e di scarico.</w:t>
      </w:r>
    </w:p>
    <w:p w:rsidR="007A5ECC" w:rsidRPr="0082515A" w:rsidRDefault="007A5ECC" w:rsidP="0082515A">
      <w:pPr>
        <w:numPr>
          <w:ilvl w:val="0"/>
          <w:numId w:val="91"/>
        </w:numPr>
        <w:tabs>
          <w:tab w:val="clear" w:pos="720"/>
          <w:tab w:val="num" w:pos="360"/>
        </w:tabs>
        <w:ind w:left="360"/>
        <w:jc w:val="both"/>
        <w:rPr>
          <w:color w:val="000000"/>
        </w:rPr>
      </w:pPr>
      <w:r w:rsidRPr="000F70A0">
        <w:rPr>
          <w:color w:val="000000"/>
        </w:rPr>
        <w:t>Gli inventari sono chiusi contabilmente al termine di ogni esercizio.</w:t>
      </w:r>
    </w:p>
    <w:p w:rsidR="007A5ECC" w:rsidRDefault="007A5ECC" w:rsidP="00503AD7">
      <w:pPr>
        <w:autoSpaceDE w:val="0"/>
        <w:autoSpaceDN w:val="0"/>
        <w:adjustRightInd w:val="0"/>
        <w:jc w:val="both"/>
        <w:rPr>
          <w:b/>
          <w:color w:val="000000"/>
        </w:rPr>
      </w:pPr>
    </w:p>
    <w:p w:rsidR="007A5ECC" w:rsidRDefault="007A5ECC" w:rsidP="00503AD7">
      <w:pPr>
        <w:autoSpaceDE w:val="0"/>
        <w:autoSpaceDN w:val="0"/>
        <w:adjustRightInd w:val="0"/>
        <w:jc w:val="both"/>
        <w:rPr>
          <w:b/>
          <w:color w:val="000000"/>
        </w:rPr>
      </w:pPr>
      <w:r w:rsidRPr="000F70A0">
        <w:rPr>
          <w:b/>
          <w:color w:val="000000"/>
        </w:rPr>
        <w:t>Art. 56 – Ricognizione dei beni</w:t>
      </w:r>
    </w:p>
    <w:p w:rsidR="007A5ECC" w:rsidRPr="000F70A0" w:rsidRDefault="007A5ECC" w:rsidP="00503AD7">
      <w:pPr>
        <w:autoSpaceDE w:val="0"/>
        <w:autoSpaceDN w:val="0"/>
        <w:adjustRightInd w:val="0"/>
        <w:jc w:val="both"/>
        <w:rPr>
          <w:b/>
          <w:color w:val="000000"/>
        </w:rPr>
      </w:pPr>
    </w:p>
    <w:p w:rsidR="007A5ECC" w:rsidRPr="000F70A0" w:rsidRDefault="007A5ECC" w:rsidP="00503AD7">
      <w:pPr>
        <w:numPr>
          <w:ilvl w:val="0"/>
          <w:numId w:val="92"/>
        </w:numPr>
        <w:tabs>
          <w:tab w:val="clear" w:pos="720"/>
          <w:tab w:val="num" w:pos="360"/>
        </w:tabs>
        <w:autoSpaceDE w:val="0"/>
        <w:autoSpaceDN w:val="0"/>
        <w:adjustRightInd w:val="0"/>
        <w:ind w:left="360"/>
        <w:jc w:val="both"/>
        <w:rPr>
          <w:color w:val="000000"/>
        </w:rPr>
      </w:pPr>
      <w:r w:rsidRPr="000F70A0">
        <w:rPr>
          <w:color w:val="000000"/>
        </w:rPr>
        <w:t>Almeno ogni cinque anni deve essere effettuata la ricognizione dei beni inventariati.</w:t>
      </w:r>
    </w:p>
    <w:p w:rsidR="007A5ECC" w:rsidRDefault="007A5ECC" w:rsidP="00503AD7">
      <w:pPr>
        <w:autoSpaceDE w:val="0"/>
        <w:autoSpaceDN w:val="0"/>
        <w:adjustRightInd w:val="0"/>
        <w:jc w:val="both"/>
        <w:rPr>
          <w:b/>
          <w:color w:val="000000"/>
        </w:rPr>
      </w:pPr>
    </w:p>
    <w:p w:rsidR="007A5ECC" w:rsidRDefault="007A5ECC" w:rsidP="00503AD7">
      <w:pPr>
        <w:autoSpaceDE w:val="0"/>
        <w:autoSpaceDN w:val="0"/>
        <w:adjustRightInd w:val="0"/>
        <w:jc w:val="both"/>
        <w:rPr>
          <w:b/>
          <w:color w:val="000000"/>
        </w:rPr>
      </w:pPr>
      <w:r w:rsidRPr="000F70A0">
        <w:rPr>
          <w:b/>
          <w:color w:val="000000"/>
        </w:rPr>
        <w:t>Art. 57 – Inventario dei beni immobili</w:t>
      </w:r>
    </w:p>
    <w:p w:rsidR="007A5ECC" w:rsidRPr="000F70A0" w:rsidRDefault="007A5ECC" w:rsidP="00503AD7">
      <w:pPr>
        <w:autoSpaceDE w:val="0"/>
        <w:autoSpaceDN w:val="0"/>
        <w:adjustRightInd w:val="0"/>
        <w:jc w:val="both"/>
        <w:rPr>
          <w:b/>
        </w:rPr>
      </w:pPr>
    </w:p>
    <w:p w:rsidR="007A5ECC" w:rsidRPr="000F70A0" w:rsidRDefault="007A5ECC" w:rsidP="00503AD7">
      <w:pPr>
        <w:numPr>
          <w:ilvl w:val="0"/>
          <w:numId w:val="68"/>
        </w:numPr>
        <w:tabs>
          <w:tab w:val="clear" w:pos="3048"/>
          <w:tab w:val="num" w:pos="360"/>
        </w:tabs>
        <w:autoSpaceDE w:val="0"/>
        <w:autoSpaceDN w:val="0"/>
        <w:adjustRightInd w:val="0"/>
        <w:ind w:left="360"/>
        <w:jc w:val="both"/>
      </w:pPr>
      <w:r w:rsidRPr="000F70A0">
        <w:rPr>
          <w:color w:val="000000"/>
        </w:rPr>
        <w:t>I beni immobili, a qualsiasi titolo conseguiti dall’Ateneo, devono essere registrati nel relativo inventario, che può essere redatto in forma elettronica.</w:t>
      </w:r>
    </w:p>
    <w:p w:rsidR="007A5ECC" w:rsidRPr="000F70A0" w:rsidRDefault="007A5ECC" w:rsidP="00503AD7">
      <w:pPr>
        <w:numPr>
          <w:ilvl w:val="0"/>
          <w:numId w:val="68"/>
        </w:numPr>
        <w:tabs>
          <w:tab w:val="clear" w:pos="3048"/>
          <w:tab w:val="num" w:pos="360"/>
        </w:tabs>
        <w:autoSpaceDE w:val="0"/>
        <w:autoSpaceDN w:val="0"/>
        <w:adjustRightInd w:val="0"/>
        <w:ind w:left="360"/>
        <w:jc w:val="both"/>
      </w:pPr>
      <w:r w:rsidRPr="000F70A0">
        <w:rPr>
          <w:color w:val="000000"/>
        </w:rPr>
        <w:t>L’inventario dei beni immobili deve contenere le seguenti indicazioni:</w:t>
      </w:r>
    </w:p>
    <w:p w:rsidR="007A5ECC" w:rsidRPr="000F70A0" w:rsidRDefault="007A5ECC" w:rsidP="00503AD7">
      <w:pPr>
        <w:numPr>
          <w:ilvl w:val="1"/>
          <w:numId w:val="68"/>
        </w:numPr>
        <w:tabs>
          <w:tab w:val="clear" w:pos="1440"/>
        </w:tabs>
        <w:autoSpaceDE w:val="0"/>
        <w:autoSpaceDN w:val="0"/>
        <w:adjustRightInd w:val="0"/>
        <w:ind w:left="720"/>
        <w:jc w:val="both"/>
      </w:pPr>
      <w:proofErr w:type="gramStart"/>
      <w:r w:rsidRPr="000F70A0">
        <w:rPr>
          <w:color w:val="000000"/>
        </w:rPr>
        <w:t>la</w:t>
      </w:r>
      <w:proofErr w:type="gramEnd"/>
      <w:r w:rsidRPr="000F70A0">
        <w:rPr>
          <w:color w:val="000000"/>
        </w:rPr>
        <w:t xml:space="preserve"> denominazione, l’ubicazione, l’uso cui sono destinati e le Unità organizzative cui sono affidati;</w:t>
      </w:r>
    </w:p>
    <w:p w:rsidR="007A5ECC" w:rsidRPr="000F70A0" w:rsidRDefault="007A5ECC" w:rsidP="00503AD7">
      <w:pPr>
        <w:numPr>
          <w:ilvl w:val="1"/>
          <w:numId w:val="68"/>
        </w:numPr>
        <w:tabs>
          <w:tab w:val="clear" w:pos="1440"/>
        </w:tabs>
        <w:autoSpaceDE w:val="0"/>
        <w:autoSpaceDN w:val="0"/>
        <w:adjustRightInd w:val="0"/>
        <w:ind w:left="720"/>
        <w:jc w:val="both"/>
      </w:pPr>
      <w:proofErr w:type="gramStart"/>
      <w:r w:rsidRPr="000F70A0">
        <w:rPr>
          <w:color w:val="000000"/>
        </w:rPr>
        <w:t>il</w:t>
      </w:r>
      <w:proofErr w:type="gramEnd"/>
      <w:r w:rsidRPr="000F70A0">
        <w:rPr>
          <w:color w:val="000000"/>
        </w:rPr>
        <w:t xml:space="preserve"> titolo di provenienza, le risultanze dei registri immobiliari, i dati catastali e la rendita catastale;</w:t>
      </w:r>
    </w:p>
    <w:p w:rsidR="007A5ECC" w:rsidRPr="000F70A0" w:rsidRDefault="007A5ECC" w:rsidP="00503AD7">
      <w:pPr>
        <w:numPr>
          <w:ilvl w:val="1"/>
          <w:numId w:val="68"/>
        </w:numPr>
        <w:tabs>
          <w:tab w:val="clear" w:pos="1440"/>
        </w:tabs>
        <w:autoSpaceDE w:val="0"/>
        <w:autoSpaceDN w:val="0"/>
        <w:adjustRightInd w:val="0"/>
        <w:ind w:left="720"/>
        <w:jc w:val="both"/>
      </w:pPr>
      <w:proofErr w:type="gramStart"/>
      <w:r w:rsidRPr="000F70A0">
        <w:rPr>
          <w:color w:val="000000"/>
        </w:rPr>
        <w:t>le</w:t>
      </w:r>
      <w:proofErr w:type="gramEnd"/>
      <w:r w:rsidRPr="000F70A0">
        <w:rPr>
          <w:color w:val="000000"/>
        </w:rPr>
        <w:t xml:space="preserve"> servitù, i pesi e gli oneri da cui sono gravati;</w:t>
      </w:r>
    </w:p>
    <w:p w:rsidR="007A5ECC" w:rsidRPr="000F70A0" w:rsidRDefault="007A5ECC" w:rsidP="00503AD7">
      <w:pPr>
        <w:numPr>
          <w:ilvl w:val="1"/>
          <w:numId w:val="68"/>
        </w:numPr>
        <w:tabs>
          <w:tab w:val="clear" w:pos="1440"/>
        </w:tabs>
        <w:autoSpaceDE w:val="0"/>
        <w:autoSpaceDN w:val="0"/>
        <w:adjustRightInd w:val="0"/>
        <w:ind w:left="720"/>
        <w:jc w:val="both"/>
      </w:pPr>
      <w:proofErr w:type="gramStart"/>
      <w:r w:rsidRPr="000F70A0">
        <w:rPr>
          <w:color w:val="000000"/>
        </w:rPr>
        <w:t>il</w:t>
      </w:r>
      <w:proofErr w:type="gramEnd"/>
      <w:r w:rsidRPr="000F70A0">
        <w:rPr>
          <w:color w:val="000000"/>
        </w:rPr>
        <w:t xml:space="preserve"> valore iniziale di provenienza e le eventuali successive variazioni di valore.</w:t>
      </w:r>
    </w:p>
    <w:p w:rsidR="007A5ECC" w:rsidRDefault="007A5ECC" w:rsidP="00503AD7">
      <w:pPr>
        <w:autoSpaceDE w:val="0"/>
        <w:autoSpaceDN w:val="0"/>
        <w:adjustRightInd w:val="0"/>
        <w:jc w:val="both"/>
        <w:rPr>
          <w:b/>
          <w:color w:val="000000"/>
        </w:rPr>
      </w:pPr>
    </w:p>
    <w:p w:rsidR="007A5ECC" w:rsidRDefault="007A5ECC" w:rsidP="00503AD7">
      <w:pPr>
        <w:autoSpaceDE w:val="0"/>
        <w:autoSpaceDN w:val="0"/>
        <w:adjustRightInd w:val="0"/>
        <w:jc w:val="both"/>
        <w:rPr>
          <w:b/>
          <w:color w:val="000000"/>
        </w:rPr>
      </w:pPr>
      <w:r w:rsidRPr="000F70A0">
        <w:rPr>
          <w:b/>
          <w:color w:val="000000"/>
        </w:rPr>
        <w:lastRenderedPageBreak/>
        <w:t>Art. 58</w:t>
      </w:r>
      <w:r w:rsidRPr="000F70A0">
        <w:rPr>
          <w:b/>
          <w:bCs/>
        </w:rPr>
        <w:t xml:space="preserve"> </w:t>
      </w:r>
      <w:r w:rsidRPr="000F70A0">
        <w:rPr>
          <w:b/>
          <w:color w:val="000000"/>
        </w:rPr>
        <w:t>– Gestione inventariale dei beni immobili e mobili</w:t>
      </w:r>
    </w:p>
    <w:p w:rsidR="007A5ECC" w:rsidRPr="000F70A0" w:rsidRDefault="007A5ECC" w:rsidP="00503AD7">
      <w:pPr>
        <w:autoSpaceDE w:val="0"/>
        <w:autoSpaceDN w:val="0"/>
        <w:adjustRightInd w:val="0"/>
        <w:jc w:val="both"/>
        <w:rPr>
          <w:b/>
        </w:rPr>
      </w:pPr>
    </w:p>
    <w:p w:rsidR="007A5ECC" w:rsidRPr="0082515A" w:rsidRDefault="007A5ECC" w:rsidP="00503AD7">
      <w:pPr>
        <w:numPr>
          <w:ilvl w:val="0"/>
          <w:numId w:val="69"/>
        </w:numPr>
        <w:tabs>
          <w:tab w:val="clear" w:pos="3048"/>
          <w:tab w:val="num" w:pos="360"/>
        </w:tabs>
        <w:autoSpaceDE w:val="0"/>
        <w:autoSpaceDN w:val="0"/>
        <w:adjustRightInd w:val="0"/>
        <w:ind w:left="360"/>
        <w:jc w:val="both"/>
      </w:pPr>
      <w:r w:rsidRPr="000F70A0">
        <w:rPr>
          <w:color w:val="000000"/>
        </w:rPr>
        <w:t>La gestione inventariale dei beni immobili e mobili del Politecnico è disciplinata mediante apposito Regolamento.</w:t>
      </w:r>
    </w:p>
    <w:p w:rsidR="0082515A" w:rsidRPr="000F70A0" w:rsidRDefault="0082515A" w:rsidP="0082515A">
      <w:pPr>
        <w:autoSpaceDE w:val="0"/>
        <w:autoSpaceDN w:val="0"/>
        <w:adjustRightInd w:val="0"/>
        <w:ind w:left="360"/>
        <w:jc w:val="both"/>
      </w:pPr>
    </w:p>
    <w:p w:rsidR="007A5ECC" w:rsidRDefault="007A5ECC" w:rsidP="00503AD7">
      <w:pPr>
        <w:autoSpaceDE w:val="0"/>
        <w:autoSpaceDN w:val="0"/>
        <w:adjustRightInd w:val="0"/>
        <w:jc w:val="center"/>
        <w:rPr>
          <w:bCs/>
          <w:color w:val="000000"/>
        </w:rPr>
      </w:pPr>
      <w:bookmarkStart w:id="0" w:name="__RefHeading__15_1742315404"/>
      <w:bookmarkStart w:id="1" w:name="__RefHeading__17_1742315404"/>
      <w:bookmarkStart w:id="2" w:name="__RefHeading__19_1742315404"/>
      <w:bookmarkStart w:id="3" w:name="__RefHeading__21_1742315404"/>
      <w:bookmarkStart w:id="4" w:name="__RefHeading__23_1742315404"/>
      <w:bookmarkStart w:id="5" w:name="__RefHeading__27_1742315404"/>
      <w:bookmarkStart w:id="6" w:name="__RefHeading__29_1742315404"/>
      <w:bookmarkStart w:id="7" w:name="__RefHeading__31_1742315404"/>
      <w:bookmarkStart w:id="8" w:name="__RefHeading__33_1742315404"/>
      <w:bookmarkStart w:id="9" w:name="__RefHeading__35_1742315404"/>
      <w:bookmarkStart w:id="10" w:name="__RefHeading__37_1742315404"/>
      <w:bookmarkStart w:id="11" w:name="__RefHeading__39_1742315404"/>
      <w:bookmarkStart w:id="12" w:name="__RefHeading__41_1742315404"/>
      <w:bookmarkStart w:id="13" w:name="__RefHeading__45_1742315404"/>
      <w:bookmarkStart w:id="14" w:name="__RefHeading__47_1742315404"/>
      <w:bookmarkStart w:id="15" w:name="__RefHeading__49_1742315404"/>
      <w:bookmarkStart w:id="16" w:name="__RefHeading__53_174231540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7A5ECC" w:rsidRPr="00503AD7" w:rsidRDefault="007A5ECC" w:rsidP="00503AD7">
      <w:pPr>
        <w:autoSpaceDE w:val="0"/>
        <w:autoSpaceDN w:val="0"/>
        <w:adjustRightInd w:val="0"/>
        <w:jc w:val="center"/>
        <w:rPr>
          <w:b/>
          <w:bCs/>
          <w:color w:val="000000"/>
        </w:rPr>
      </w:pPr>
      <w:r w:rsidRPr="00503AD7">
        <w:rPr>
          <w:b/>
          <w:bCs/>
          <w:color w:val="000000"/>
        </w:rPr>
        <w:t>CAPO II – ATTIVITÀ CONTRATTUALE</w:t>
      </w:r>
    </w:p>
    <w:p w:rsidR="007A5ECC" w:rsidRDefault="007A5ECC" w:rsidP="00503AD7">
      <w:pPr>
        <w:pStyle w:val="Default"/>
        <w:spacing w:line="240" w:lineRule="auto"/>
        <w:rPr>
          <w:b/>
          <w:bCs/>
          <w:sz w:val="22"/>
          <w:szCs w:val="22"/>
        </w:rPr>
      </w:pPr>
    </w:p>
    <w:p w:rsidR="007A5ECC" w:rsidRPr="0056001A" w:rsidRDefault="007A5ECC" w:rsidP="00503AD7">
      <w:pPr>
        <w:pStyle w:val="Default"/>
        <w:spacing w:line="240" w:lineRule="auto"/>
        <w:rPr>
          <w:b/>
          <w:bCs/>
        </w:rPr>
      </w:pPr>
      <w:r w:rsidRPr="0056001A">
        <w:rPr>
          <w:b/>
          <w:bCs/>
        </w:rPr>
        <w:t xml:space="preserve">Art. 59 – Capacità negoziale </w:t>
      </w:r>
    </w:p>
    <w:p w:rsidR="007A5ECC" w:rsidRPr="0056001A" w:rsidRDefault="007A5ECC" w:rsidP="00503AD7">
      <w:pPr>
        <w:pStyle w:val="Default"/>
        <w:spacing w:line="240" w:lineRule="auto"/>
      </w:pPr>
    </w:p>
    <w:p w:rsidR="007A5ECC" w:rsidRPr="0056001A" w:rsidRDefault="007A5ECC" w:rsidP="00503AD7">
      <w:pPr>
        <w:pStyle w:val="Default"/>
        <w:widowControl/>
        <w:numPr>
          <w:ilvl w:val="0"/>
          <w:numId w:val="70"/>
        </w:numPr>
        <w:tabs>
          <w:tab w:val="clear" w:pos="720"/>
          <w:tab w:val="num" w:pos="360"/>
        </w:tabs>
        <w:spacing w:line="240" w:lineRule="auto"/>
        <w:ind w:left="360"/>
        <w:textAlignment w:val="auto"/>
      </w:pPr>
      <w:r w:rsidRPr="0056001A">
        <w:t xml:space="preserve">Il Politecnico, quale istituzione dotata di personalità giuridica, è unico centro di imputazione degli effetti giuridici dell’attività negoziale, che viene esercitata nella piena </w:t>
      </w:r>
      <w:r w:rsidRPr="0056001A">
        <w:rPr>
          <w:color w:val="auto"/>
        </w:rPr>
        <w:t>capacità di diritto pubblico e privato e nel rispetto dei propri fini istituzionali, fatta salva l’autonomia dei Dipartimenti e degli altri Centri autonomi di Gestione come riconosciuta dallo Statuto o dai Regolamenti di Ateneo.</w:t>
      </w:r>
    </w:p>
    <w:p w:rsidR="007A5ECC" w:rsidRPr="0056001A" w:rsidRDefault="007A5ECC" w:rsidP="00503AD7">
      <w:pPr>
        <w:pStyle w:val="Default"/>
        <w:widowControl/>
        <w:numPr>
          <w:ilvl w:val="0"/>
          <w:numId w:val="70"/>
        </w:numPr>
        <w:tabs>
          <w:tab w:val="clear" w:pos="720"/>
          <w:tab w:val="num" w:pos="360"/>
        </w:tabs>
        <w:spacing w:line="240" w:lineRule="auto"/>
        <w:ind w:left="360"/>
        <w:textAlignment w:val="auto"/>
      </w:pPr>
      <w:r w:rsidRPr="0056001A">
        <w:t>L’attività contrattuale è disciplinata dalle leggi dello Stato, dal presente Regolamento e dalle disposizioni degli altri Regolamenti dell’Ateneo.</w:t>
      </w:r>
    </w:p>
    <w:p w:rsidR="007A5ECC" w:rsidRPr="0056001A" w:rsidRDefault="007A5ECC" w:rsidP="00503AD7">
      <w:pPr>
        <w:autoSpaceDE w:val="0"/>
        <w:autoSpaceDN w:val="0"/>
        <w:adjustRightInd w:val="0"/>
        <w:jc w:val="both"/>
        <w:rPr>
          <w:b/>
          <w:bCs/>
          <w:color w:val="000000"/>
        </w:rPr>
      </w:pPr>
    </w:p>
    <w:p w:rsidR="007A5ECC" w:rsidRDefault="007A5ECC" w:rsidP="00503AD7">
      <w:pPr>
        <w:autoSpaceDE w:val="0"/>
        <w:autoSpaceDN w:val="0"/>
        <w:adjustRightInd w:val="0"/>
        <w:jc w:val="both"/>
        <w:rPr>
          <w:b/>
          <w:bCs/>
          <w:color w:val="000000"/>
        </w:rPr>
      </w:pPr>
      <w:r w:rsidRPr="000F70A0">
        <w:rPr>
          <w:b/>
          <w:bCs/>
          <w:color w:val="000000"/>
        </w:rPr>
        <w:t>Art. 60 – Contratti pubblici relativi a lavori, servizi e forniture</w:t>
      </w:r>
    </w:p>
    <w:p w:rsidR="007A5ECC" w:rsidRPr="000F70A0" w:rsidRDefault="007A5ECC" w:rsidP="00503AD7">
      <w:pPr>
        <w:autoSpaceDE w:val="0"/>
        <w:autoSpaceDN w:val="0"/>
        <w:adjustRightInd w:val="0"/>
        <w:jc w:val="both"/>
        <w:rPr>
          <w:b/>
          <w:bCs/>
          <w:color w:val="000000"/>
        </w:rPr>
      </w:pPr>
    </w:p>
    <w:p w:rsidR="007A5ECC" w:rsidRPr="000F70A0" w:rsidRDefault="007A5ECC" w:rsidP="00503AD7">
      <w:pPr>
        <w:numPr>
          <w:ilvl w:val="3"/>
          <w:numId w:val="22"/>
        </w:numPr>
        <w:tabs>
          <w:tab w:val="num" w:pos="360"/>
        </w:tabs>
        <w:autoSpaceDE w:val="0"/>
        <w:autoSpaceDN w:val="0"/>
        <w:adjustRightInd w:val="0"/>
        <w:ind w:left="360"/>
        <w:jc w:val="both"/>
        <w:rPr>
          <w:color w:val="000000"/>
        </w:rPr>
      </w:pPr>
      <w:r w:rsidRPr="000F70A0">
        <w:rPr>
          <w:color w:val="000000"/>
        </w:rPr>
        <w:t>Le procedure e i relativi contratti di lavori, servizi e forniture, osservano la normativa comunitaria, nazionale e regolamentare, anche di Ateneo, e nel rispetto degli atti di programmazione ivi previsti.</w:t>
      </w:r>
    </w:p>
    <w:p w:rsidR="007A5ECC" w:rsidRDefault="007A5ECC" w:rsidP="00503AD7">
      <w:pPr>
        <w:autoSpaceDE w:val="0"/>
        <w:autoSpaceDN w:val="0"/>
        <w:adjustRightInd w:val="0"/>
        <w:jc w:val="both"/>
        <w:rPr>
          <w:b/>
          <w:bCs/>
          <w:color w:val="000000"/>
        </w:rPr>
      </w:pPr>
    </w:p>
    <w:p w:rsidR="007A5ECC" w:rsidRDefault="007A5ECC" w:rsidP="00503AD7">
      <w:pPr>
        <w:autoSpaceDE w:val="0"/>
        <w:autoSpaceDN w:val="0"/>
        <w:adjustRightInd w:val="0"/>
        <w:jc w:val="both"/>
        <w:rPr>
          <w:b/>
          <w:bCs/>
          <w:color w:val="000000"/>
        </w:rPr>
      </w:pPr>
      <w:r w:rsidRPr="000F70A0">
        <w:rPr>
          <w:b/>
          <w:bCs/>
          <w:color w:val="000000"/>
        </w:rPr>
        <w:t>Art. 61 – Locazione passiva di beni immobili</w:t>
      </w:r>
    </w:p>
    <w:p w:rsidR="007A5ECC" w:rsidRPr="000F70A0" w:rsidRDefault="007A5ECC" w:rsidP="00503AD7">
      <w:pPr>
        <w:autoSpaceDE w:val="0"/>
        <w:autoSpaceDN w:val="0"/>
        <w:adjustRightInd w:val="0"/>
        <w:jc w:val="both"/>
        <w:rPr>
          <w:b/>
          <w:bCs/>
          <w:color w:val="000000"/>
        </w:rPr>
      </w:pPr>
    </w:p>
    <w:p w:rsidR="007A5ECC" w:rsidRPr="000F70A0" w:rsidRDefault="007A5ECC" w:rsidP="00503AD7">
      <w:pPr>
        <w:numPr>
          <w:ilvl w:val="0"/>
          <w:numId w:val="30"/>
        </w:numPr>
        <w:tabs>
          <w:tab w:val="clear" w:pos="2880"/>
          <w:tab w:val="num" w:pos="360"/>
        </w:tabs>
        <w:autoSpaceDE w:val="0"/>
        <w:autoSpaceDN w:val="0"/>
        <w:adjustRightInd w:val="0"/>
        <w:ind w:left="360"/>
        <w:jc w:val="both"/>
        <w:rPr>
          <w:color w:val="000000"/>
        </w:rPr>
      </w:pPr>
      <w:r w:rsidRPr="000F70A0">
        <w:rPr>
          <w:color w:val="000000"/>
        </w:rPr>
        <w:t>I contratti di locazione passiva sono sottoscritti dal Direttore Generale, previa delibera del Consiglio di Amministrazione, che valuta la congruità delle condizioni contrattuali.</w:t>
      </w:r>
    </w:p>
    <w:p w:rsidR="007A5ECC" w:rsidRDefault="007A5ECC" w:rsidP="00503AD7">
      <w:pPr>
        <w:pStyle w:val="Default"/>
        <w:spacing w:line="240" w:lineRule="auto"/>
        <w:rPr>
          <w:b/>
          <w:bCs/>
          <w:sz w:val="22"/>
          <w:szCs w:val="22"/>
        </w:rPr>
      </w:pPr>
    </w:p>
    <w:p w:rsidR="007A5ECC" w:rsidRPr="0056001A" w:rsidRDefault="007A5ECC" w:rsidP="00503AD7">
      <w:pPr>
        <w:pStyle w:val="Default"/>
        <w:spacing w:line="240" w:lineRule="auto"/>
        <w:rPr>
          <w:b/>
          <w:bCs/>
        </w:rPr>
      </w:pPr>
      <w:r w:rsidRPr="0056001A">
        <w:rPr>
          <w:b/>
          <w:bCs/>
        </w:rPr>
        <w:t>Art. 62 – Locazione attiva di beni immobili e mobili</w:t>
      </w:r>
    </w:p>
    <w:p w:rsidR="007A5ECC" w:rsidRPr="0056001A" w:rsidRDefault="007A5ECC" w:rsidP="00503AD7">
      <w:pPr>
        <w:pStyle w:val="Default"/>
        <w:spacing w:line="240" w:lineRule="auto"/>
      </w:pPr>
    </w:p>
    <w:p w:rsidR="007A5ECC" w:rsidRPr="0056001A" w:rsidRDefault="007A5ECC" w:rsidP="00503AD7">
      <w:pPr>
        <w:pStyle w:val="Default"/>
        <w:widowControl/>
        <w:numPr>
          <w:ilvl w:val="0"/>
          <w:numId w:val="71"/>
        </w:numPr>
        <w:tabs>
          <w:tab w:val="clear" w:pos="2880"/>
          <w:tab w:val="left" w:pos="360"/>
        </w:tabs>
        <w:spacing w:line="240" w:lineRule="auto"/>
        <w:ind w:left="360"/>
        <w:textAlignment w:val="auto"/>
        <w:rPr>
          <w:color w:val="auto"/>
        </w:rPr>
      </w:pPr>
      <w:r w:rsidRPr="0056001A">
        <w:t xml:space="preserve">Gli immobili </w:t>
      </w:r>
      <w:r w:rsidRPr="0056001A">
        <w:rPr>
          <w:color w:val="auto"/>
        </w:rPr>
        <w:t>universitari, con delibera del Consiglio di Amministrazione, possono essere locati tramite procedure che tutelino l’interesse dell’Ateneo, nel rispetto dei criteri per la determinazione dei canoni fissati dalla legge e secondo i parametri di mercato.</w:t>
      </w:r>
    </w:p>
    <w:p w:rsidR="007A5ECC" w:rsidRPr="0056001A" w:rsidRDefault="007A5ECC" w:rsidP="00503AD7">
      <w:pPr>
        <w:pStyle w:val="Default"/>
        <w:widowControl/>
        <w:numPr>
          <w:ilvl w:val="0"/>
          <w:numId w:val="71"/>
        </w:numPr>
        <w:tabs>
          <w:tab w:val="clear" w:pos="2880"/>
          <w:tab w:val="left" w:pos="360"/>
        </w:tabs>
        <w:spacing w:line="240" w:lineRule="auto"/>
        <w:ind w:left="360"/>
        <w:textAlignment w:val="auto"/>
        <w:rPr>
          <w:color w:val="auto"/>
        </w:rPr>
      </w:pPr>
      <w:r w:rsidRPr="0056001A">
        <w:rPr>
          <w:color w:val="auto"/>
        </w:rPr>
        <w:t>Le locazioni di beni mobili sono disposte dal Direttore Generale, previa delibera del Consiglio di Amministrazione</w:t>
      </w:r>
      <w:r w:rsidRPr="0056001A">
        <w:t>.</w:t>
      </w:r>
      <w:r w:rsidRPr="0056001A">
        <w:rPr>
          <w:color w:val="auto"/>
        </w:rPr>
        <w:t xml:space="preserve"> </w:t>
      </w:r>
    </w:p>
    <w:p w:rsidR="007A5ECC" w:rsidRDefault="007A5ECC" w:rsidP="00503AD7">
      <w:pPr>
        <w:pStyle w:val="Default"/>
        <w:spacing w:line="240" w:lineRule="auto"/>
        <w:rPr>
          <w:b/>
          <w:bCs/>
          <w:sz w:val="22"/>
          <w:szCs w:val="22"/>
        </w:rPr>
      </w:pPr>
    </w:p>
    <w:p w:rsidR="007A5ECC" w:rsidRPr="0056001A" w:rsidRDefault="007A5ECC" w:rsidP="00503AD7">
      <w:pPr>
        <w:pStyle w:val="Default"/>
        <w:spacing w:line="240" w:lineRule="auto"/>
        <w:rPr>
          <w:b/>
          <w:bCs/>
          <w:color w:val="auto"/>
        </w:rPr>
      </w:pPr>
      <w:r w:rsidRPr="0056001A">
        <w:rPr>
          <w:b/>
          <w:bCs/>
        </w:rPr>
        <w:t>Art. 63</w:t>
      </w:r>
      <w:r w:rsidRPr="0056001A">
        <w:rPr>
          <w:b/>
          <w:bCs/>
          <w:color w:val="auto"/>
        </w:rPr>
        <w:t xml:space="preserve"> – Acquisto, alienazione e permuta di beni immobili e mobili</w:t>
      </w:r>
    </w:p>
    <w:p w:rsidR="007A5ECC" w:rsidRPr="0056001A" w:rsidRDefault="007A5ECC" w:rsidP="00503AD7">
      <w:pPr>
        <w:pStyle w:val="Default"/>
        <w:spacing w:line="240" w:lineRule="auto"/>
        <w:rPr>
          <w:b/>
          <w:bCs/>
          <w:color w:val="auto"/>
        </w:rPr>
      </w:pPr>
    </w:p>
    <w:p w:rsidR="007A5ECC" w:rsidRPr="0056001A" w:rsidRDefault="007A5ECC" w:rsidP="00503AD7">
      <w:pPr>
        <w:pStyle w:val="Default"/>
        <w:widowControl/>
        <w:numPr>
          <w:ilvl w:val="0"/>
          <w:numId w:val="72"/>
        </w:numPr>
        <w:tabs>
          <w:tab w:val="clear" w:pos="2880"/>
          <w:tab w:val="num" w:pos="360"/>
        </w:tabs>
        <w:spacing w:line="240" w:lineRule="auto"/>
        <w:ind w:left="360"/>
        <w:textAlignment w:val="auto"/>
        <w:rPr>
          <w:color w:val="auto"/>
        </w:rPr>
      </w:pPr>
      <w:r w:rsidRPr="0056001A">
        <w:rPr>
          <w:color w:val="auto"/>
        </w:rPr>
        <w:t>L’acquisto, l’alienazione e la permuta di beni immobili è deliberata dal Consiglio di Amministrazione, e deve essere adeguatamente motivata in relazione all’interesse pubblico che si intende perseguire, nel rispetto della normativa vigente. In caso di alienazione o permuta di un bene assegnato a un Dipartimento o altro Centro autonomo di Gestione, deve essere preventivamente acquisito il parere del relativo organo competente.</w:t>
      </w:r>
    </w:p>
    <w:p w:rsidR="007A5ECC" w:rsidRPr="0056001A" w:rsidRDefault="007A5ECC" w:rsidP="00503AD7">
      <w:pPr>
        <w:pStyle w:val="Default"/>
        <w:widowControl/>
        <w:numPr>
          <w:ilvl w:val="0"/>
          <w:numId w:val="72"/>
        </w:numPr>
        <w:tabs>
          <w:tab w:val="clear" w:pos="2880"/>
          <w:tab w:val="num" w:pos="360"/>
        </w:tabs>
        <w:spacing w:line="240" w:lineRule="auto"/>
        <w:ind w:left="360"/>
        <w:textAlignment w:val="auto"/>
        <w:rPr>
          <w:color w:val="auto"/>
        </w:rPr>
      </w:pPr>
      <w:r w:rsidRPr="0056001A">
        <w:rPr>
          <w:color w:val="auto"/>
        </w:rPr>
        <w:t>La scelta del contraente avviene di norma tramite procedura aperta. Tale scelta può avvenire tramite procedura negoziata in casi eccezionali di infungibilità del bene ovvero di particolare convenienza, da motivare con delibera del Consiglio di Amministrazione.</w:t>
      </w:r>
    </w:p>
    <w:p w:rsidR="007A5ECC" w:rsidRPr="0056001A" w:rsidRDefault="007A5ECC" w:rsidP="00503AD7">
      <w:pPr>
        <w:pStyle w:val="Default"/>
        <w:widowControl/>
        <w:numPr>
          <w:ilvl w:val="0"/>
          <w:numId w:val="72"/>
        </w:numPr>
        <w:tabs>
          <w:tab w:val="clear" w:pos="2880"/>
          <w:tab w:val="num" w:pos="360"/>
        </w:tabs>
        <w:spacing w:line="240" w:lineRule="auto"/>
        <w:ind w:left="360"/>
        <w:textAlignment w:val="auto"/>
        <w:rPr>
          <w:color w:val="auto"/>
        </w:rPr>
      </w:pPr>
      <w:r w:rsidRPr="0056001A">
        <w:rPr>
          <w:color w:val="auto"/>
        </w:rPr>
        <w:t xml:space="preserve">Le disposizioni precedenti si applicano anche all’alienazione e alla permuta dei beni mobili, salvo i casi in cui il valore del negozio sia inferiore a Euro 2.500,00, per i quali il Direttore </w:t>
      </w:r>
      <w:r w:rsidRPr="0056001A">
        <w:rPr>
          <w:color w:val="auto"/>
        </w:rPr>
        <w:lastRenderedPageBreak/>
        <w:t xml:space="preserve">Generale, o il competente organo del </w:t>
      </w:r>
      <w:r w:rsidR="0082515A">
        <w:rPr>
          <w:color w:val="auto"/>
        </w:rPr>
        <w:t xml:space="preserve">Dipartimento </w:t>
      </w:r>
      <w:r w:rsidRPr="0056001A">
        <w:rPr>
          <w:color w:val="auto"/>
        </w:rPr>
        <w:t>o di altro Centro autonomo di Gestione, adotta gli atti necessari all’alienazione o alla permuta.</w:t>
      </w:r>
    </w:p>
    <w:p w:rsidR="007A5ECC" w:rsidRDefault="007A5ECC" w:rsidP="00503AD7">
      <w:pPr>
        <w:pStyle w:val="Default"/>
        <w:spacing w:line="240" w:lineRule="auto"/>
        <w:rPr>
          <w:b/>
          <w:bCs/>
          <w:color w:val="auto"/>
          <w:sz w:val="22"/>
          <w:szCs w:val="22"/>
        </w:rPr>
      </w:pPr>
    </w:p>
    <w:p w:rsidR="007A5ECC" w:rsidRPr="0056001A" w:rsidRDefault="007A5ECC" w:rsidP="00503AD7">
      <w:pPr>
        <w:pStyle w:val="Default"/>
        <w:spacing w:line="240" w:lineRule="auto"/>
        <w:rPr>
          <w:b/>
          <w:bCs/>
          <w:color w:val="auto"/>
        </w:rPr>
      </w:pPr>
      <w:r w:rsidRPr="0056001A">
        <w:rPr>
          <w:b/>
          <w:bCs/>
          <w:color w:val="auto"/>
        </w:rPr>
        <w:t>Art. 64 – Concessione in uso degli spazi</w:t>
      </w:r>
    </w:p>
    <w:p w:rsidR="007A5ECC" w:rsidRPr="0056001A" w:rsidRDefault="007A5ECC" w:rsidP="00503AD7">
      <w:pPr>
        <w:pStyle w:val="Default"/>
        <w:spacing w:line="240" w:lineRule="auto"/>
        <w:rPr>
          <w:color w:val="auto"/>
        </w:rPr>
      </w:pPr>
    </w:p>
    <w:p w:rsidR="007A5ECC" w:rsidRPr="0056001A" w:rsidRDefault="007A5ECC" w:rsidP="00503AD7">
      <w:pPr>
        <w:pStyle w:val="Default"/>
        <w:widowControl/>
        <w:numPr>
          <w:ilvl w:val="0"/>
          <w:numId w:val="73"/>
        </w:numPr>
        <w:tabs>
          <w:tab w:val="clear" w:pos="2880"/>
          <w:tab w:val="left" w:pos="0"/>
          <w:tab w:val="num" w:pos="360"/>
        </w:tabs>
        <w:spacing w:line="240" w:lineRule="auto"/>
        <w:ind w:left="360"/>
        <w:textAlignment w:val="auto"/>
        <w:rPr>
          <w:color w:val="auto"/>
        </w:rPr>
      </w:pPr>
      <w:r w:rsidRPr="0056001A">
        <w:rPr>
          <w:color w:val="auto"/>
        </w:rPr>
        <w:t xml:space="preserve">Il Politecnico può concedere in uso i propri spazi a soggetti pubblici o privati, a titolo oneroso e in conformità ad apposito regolamento. </w:t>
      </w:r>
    </w:p>
    <w:p w:rsidR="007A5ECC" w:rsidRPr="0056001A" w:rsidRDefault="007A5ECC" w:rsidP="00503AD7">
      <w:pPr>
        <w:pStyle w:val="Default"/>
        <w:spacing w:line="240" w:lineRule="auto"/>
        <w:rPr>
          <w:b/>
          <w:bCs/>
        </w:rPr>
      </w:pPr>
    </w:p>
    <w:p w:rsidR="007A5ECC" w:rsidRPr="0056001A" w:rsidRDefault="007A5ECC" w:rsidP="00503AD7">
      <w:pPr>
        <w:pStyle w:val="Default"/>
        <w:spacing w:line="240" w:lineRule="auto"/>
        <w:rPr>
          <w:b/>
          <w:bCs/>
        </w:rPr>
      </w:pPr>
      <w:r w:rsidRPr="0056001A">
        <w:rPr>
          <w:b/>
          <w:bCs/>
        </w:rPr>
        <w:t>Art. 65</w:t>
      </w:r>
      <w:r w:rsidRPr="0056001A">
        <w:rPr>
          <w:b/>
          <w:bCs/>
          <w:color w:val="FF0000"/>
        </w:rPr>
        <w:t xml:space="preserve"> </w:t>
      </w:r>
      <w:r w:rsidRPr="0056001A">
        <w:rPr>
          <w:b/>
          <w:bCs/>
        </w:rPr>
        <w:t>– Partecipazione a consorzi e ad altri soggetti di diritto privato</w:t>
      </w:r>
    </w:p>
    <w:p w:rsidR="007A5ECC" w:rsidRPr="0056001A" w:rsidRDefault="007A5ECC" w:rsidP="00503AD7">
      <w:pPr>
        <w:pStyle w:val="Default"/>
        <w:spacing w:line="240" w:lineRule="auto"/>
      </w:pPr>
    </w:p>
    <w:p w:rsidR="007A5ECC" w:rsidRPr="0056001A" w:rsidRDefault="007A5ECC" w:rsidP="00503AD7">
      <w:pPr>
        <w:pStyle w:val="Default"/>
        <w:widowControl/>
        <w:numPr>
          <w:ilvl w:val="0"/>
          <w:numId w:val="74"/>
        </w:numPr>
        <w:tabs>
          <w:tab w:val="left" w:pos="360"/>
        </w:tabs>
        <w:spacing w:line="240" w:lineRule="auto"/>
        <w:ind w:left="360"/>
        <w:textAlignment w:val="auto"/>
      </w:pPr>
      <w:r w:rsidRPr="0056001A">
        <w:t xml:space="preserve">Il Politecnico può partecipare </w:t>
      </w:r>
      <w:r w:rsidRPr="0056001A">
        <w:rPr>
          <w:color w:val="auto"/>
        </w:rPr>
        <w:t>con le modalità previste dallo Statuto, a consorzi, società di capitale ovvero ad altre forme associative di diritto privato finalizzate alla realizzazione di attività strumentali</w:t>
      </w:r>
      <w:r w:rsidRPr="0056001A">
        <w:t xml:space="preserve"> ai fini istituzionali dell’Ateneo.</w:t>
      </w:r>
    </w:p>
    <w:p w:rsidR="007A5ECC" w:rsidRPr="0056001A" w:rsidRDefault="007A5ECC" w:rsidP="00503AD7">
      <w:pPr>
        <w:pStyle w:val="Default"/>
        <w:widowControl/>
        <w:numPr>
          <w:ilvl w:val="0"/>
          <w:numId w:val="74"/>
        </w:numPr>
        <w:tabs>
          <w:tab w:val="left" w:pos="360"/>
        </w:tabs>
        <w:spacing w:line="240" w:lineRule="auto"/>
        <w:ind w:left="360"/>
        <w:textAlignment w:val="auto"/>
      </w:pPr>
      <w:r w:rsidRPr="0056001A">
        <w:t>La partecipazione è disciplinata da apposito regolamento.</w:t>
      </w:r>
    </w:p>
    <w:p w:rsidR="007A5ECC" w:rsidRDefault="007A5ECC" w:rsidP="00503AD7">
      <w:pPr>
        <w:pStyle w:val="Default"/>
        <w:spacing w:line="240" w:lineRule="auto"/>
        <w:rPr>
          <w:b/>
          <w:bCs/>
          <w:sz w:val="22"/>
          <w:szCs w:val="22"/>
        </w:rPr>
      </w:pPr>
    </w:p>
    <w:p w:rsidR="007A5ECC" w:rsidRPr="0056001A" w:rsidRDefault="007A5ECC" w:rsidP="00503AD7">
      <w:pPr>
        <w:pStyle w:val="Default"/>
        <w:spacing w:line="240" w:lineRule="auto"/>
        <w:rPr>
          <w:b/>
          <w:bCs/>
        </w:rPr>
      </w:pPr>
      <w:r w:rsidRPr="0056001A">
        <w:rPr>
          <w:b/>
          <w:bCs/>
        </w:rPr>
        <w:t>Art. 66 – Contratti e convenzioni per prestazioni in collaborazione e per conto terzi</w:t>
      </w:r>
    </w:p>
    <w:p w:rsidR="007A5ECC" w:rsidRPr="0056001A" w:rsidRDefault="007A5ECC" w:rsidP="00503AD7">
      <w:pPr>
        <w:pStyle w:val="Default"/>
        <w:spacing w:line="240" w:lineRule="auto"/>
      </w:pPr>
    </w:p>
    <w:p w:rsidR="007A5ECC" w:rsidRPr="0056001A" w:rsidRDefault="007A5ECC" w:rsidP="00503AD7">
      <w:pPr>
        <w:pStyle w:val="Default"/>
        <w:widowControl/>
        <w:numPr>
          <w:ilvl w:val="0"/>
          <w:numId w:val="75"/>
        </w:numPr>
        <w:tabs>
          <w:tab w:val="clear" w:pos="2880"/>
          <w:tab w:val="num" w:pos="360"/>
        </w:tabs>
        <w:spacing w:line="240" w:lineRule="auto"/>
        <w:ind w:left="360"/>
        <w:textAlignment w:val="auto"/>
      </w:pPr>
      <w:r w:rsidRPr="0056001A">
        <w:t>Il Politecnico può effettuare a titolo oneroso, in collaborazione e per conto di organismi comunitari, enti pubblici o privati, attività di formazione, studi, ricerche, consulenze, analisi, controlli, tarature, prove ed esperienze, o altre attività nel rispetto delle proprie finalità istituzionali.</w:t>
      </w:r>
    </w:p>
    <w:p w:rsidR="007A5ECC" w:rsidRPr="0056001A" w:rsidRDefault="007A5ECC" w:rsidP="00503AD7">
      <w:pPr>
        <w:pStyle w:val="Default"/>
        <w:widowControl/>
        <w:numPr>
          <w:ilvl w:val="0"/>
          <w:numId w:val="75"/>
        </w:numPr>
        <w:tabs>
          <w:tab w:val="clear" w:pos="2880"/>
          <w:tab w:val="num" w:pos="360"/>
        </w:tabs>
        <w:spacing w:line="240" w:lineRule="auto"/>
        <w:ind w:left="360"/>
        <w:textAlignment w:val="auto"/>
      </w:pPr>
      <w:r w:rsidRPr="0056001A">
        <w:t xml:space="preserve">Le attività di cui al comma 1 sono disciplinate da contratti o convenzioni redatti in conformità ad apposito Regolamento. </w:t>
      </w:r>
    </w:p>
    <w:p w:rsidR="007A5ECC" w:rsidRPr="0056001A" w:rsidRDefault="007A5ECC" w:rsidP="00503AD7">
      <w:pPr>
        <w:pStyle w:val="Default"/>
        <w:spacing w:line="240" w:lineRule="auto"/>
        <w:rPr>
          <w:b/>
          <w:bCs/>
        </w:rPr>
      </w:pPr>
    </w:p>
    <w:p w:rsidR="007A5ECC" w:rsidRPr="0056001A" w:rsidRDefault="007A5ECC" w:rsidP="00503AD7">
      <w:pPr>
        <w:pStyle w:val="Default"/>
        <w:spacing w:line="240" w:lineRule="auto"/>
        <w:rPr>
          <w:b/>
          <w:bCs/>
        </w:rPr>
      </w:pPr>
      <w:r w:rsidRPr="0056001A">
        <w:rPr>
          <w:b/>
          <w:bCs/>
        </w:rPr>
        <w:t>Art. 67 – Valorizzazione dei risultati della ricerca</w:t>
      </w:r>
    </w:p>
    <w:p w:rsidR="007A5ECC" w:rsidRPr="0056001A" w:rsidRDefault="007A5ECC" w:rsidP="00503AD7">
      <w:pPr>
        <w:pStyle w:val="Default"/>
        <w:spacing w:line="240" w:lineRule="auto"/>
      </w:pPr>
    </w:p>
    <w:p w:rsidR="007A5ECC" w:rsidRPr="0056001A" w:rsidRDefault="007A5ECC" w:rsidP="00503AD7">
      <w:pPr>
        <w:pStyle w:val="Default"/>
        <w:widowControl/>
        <w:numPr>
          <w:ilvl w:val="0"/>
          <w:numId w:val="77"/>
        </w:numPr>
        <w:tabs>
          <w:tab w:val="clear" w:pos="2880"/>
          <w:tab w:val="left" w:pos="360"/>
          <w:tab w:val="num" w:pos="540"/>
        </w:tabs>
        <w:spacing w:line="240" w:lineRule="auto"/>
        <w:ind w:left="360"/>
        <w:textAlignment w:val="auto"/>
      </w:pPr>
      <w:r w:rsidRPr="0056001A">
        <w:t xml:space="preserve">L’attività brevettuale nonché le diverse forme di valorizzazione e sfruttamento dei risultati della ricerca sono disciplinate con appositi regolamenti. </w:t>
      </w:r>
    </w:p>
    <w:p w:rsidR="007A5ECC" w:rsidRPr="0056001A" w:rsidRDefault="007A5ECC" w:rsidP="00503AD7">
      <w:pPr>
        <w:pStyle w:val="Default"/>
        <w:spacing w:line="240" w:lineRule="auto"/>
        <w:rPr>
          <w:b/>
          <w:bCs/>
        </w:rPr>
      </w:pPr>
    </w:p>
    <w:p w:rsidR="007A5ECC" w:rsidRPr="0056001A" w:rsidRDefault="007A5ECC" w:rsidP="00503AD7">
      <w:pPr>
        <w:pStyle w:val="Default"/>
        <w:spacing w:line="240" w:lineRule="auto"/>
        <w:rPr>
          <w:b/>
          <w:bCs/>
          <w:color w:val="auto"/>
        </w:rPr>
      </w:pPr>
      <w:r w:rsidRPr="0056001A">
        <w:rPr>
          <w:b/>
          <w:bCs/>
        </w:rPr>
        <w:t xml:space="preserve">Art. 68 – </w:t>
      </w:r>
      <w:r w:rsidRPr="0056001A">
        <w:rPr>
          <w:b/>
          <w:bCs/>
          <w:color w:val="auto"/>
        </w:rPr>
        <w:t>Accettazione di donazioni, eredità e legati</w:t>
      </w:r>
    </w:p>
    <w:p w:rsidR="007A5ECC" w:rsidRPr="0056001A" w:rsidRDefault="007A5ECC" w:rsidP="00503AD7">
      <w:pPr>
        <w:pStyle w:val="Default"/>
        <w:spacing w:line="240" w:lineRule="auto"/>
        <w:rPr>
          <w:color w:val="auto"/>
        </w:rPr>
      </w:pPr>
    </w:p>
    <w:p w:rsidR="007A5ECC" w:rsidRPr="0056001A" w:rsidRDefault="007A5ECC" w:rsidP="00503AD7">
      <w:pPr>
        <w:pStyle w:val="Default"/>
        <w:widowControl/>
        <w:numPr>
          <w:ilvl w:val="0"/>
          <w:numId w:val="76"/>
        </w:numPr>
        <w:tabs>
          <w:tab w:val="clear" w:pos="2880"/>
          <w:tab w:val="left" w:pos="360"/>
        </w:tabs>
        <w:spacing w:line="240" w:lineRule="auto"/>
        <w:ind w:left="360"/>
        <w:textAlignment w:val="auto"/>
        <w:rPr>
          <w:color w:val="auto"/>
        </w:rPr>
      </w:pPr>
      <w:r w:rsidRPr="0056001A">
        <w:rPr>
          <w:color w:val="auto"/>
        </w:rPr>
        <w:t>Il Politecnico può ricevere donazioni, eredità e legati, mediante apposita delibera del Consiglio di Amministrazione, che deve anche indicare la destinazione dei beni che ne sono oggetto.</w:t>
      </w:r>
    </w:p>
    <w:p w:rsidR="007A5ECC" w:rsidRPr="0056001A" w:rsidRDefault="007A5ECC" w:rsidP="00503AD7">
      <w:pPr>
        <w:pStyle w:val="Default"/>
        <w:widowControl/>
        <w:numPr>
          <w:ilvl w:val="0"/>
          <w:numId w:val="76"/>
        </w:numPr>
        <w:tabs>
          <w:tab w:val="clear" w:pos="2880"/>
          <w:tab w:val="left" w:pos="360"/>
        </w:tabs>
        <w:spacing w:line="240" w:lineRule="auto"/>
        <w:ind w:left="360"/>
        <w:textAlignment w:val="auto"/>
        <w:rPr>
          <w:color w:val="auto"/>
        </w:rPr>
      </w:pPr>
      <w:r w:rsidRPr="0056001A">
        <w:rPr>
          <w:color w:val="auto"/>
        </w:rPr>
        <w:t xml:space="preserve">In caso di beni mobili non registrati di modico valore, la donazione si ritiene perfezionata con la consegna del bene all’Ateneo o alla Struttura destinataria. </w:t>
      </w:r>
    </w:p>
    <w:p w:rsidR="007A5ECC" w:rsidRDefault="007A5ECC" w:rsidP="00503AD7">
      <w:pPr>
        <w:pStyle w:val="Default"/>
        <w:spacing w:line="240" w:lineRule="auto"/>
        <w:rPr>
          <w:color w:val="FF0000"/>
          <w:sz w:val="22"/>
          <w:szCs w:val="22"/>
        </w:rPr>
      </w:pPr>
    </w:p>
    <w:p w:rsidR="0082515A" w:rsidRPr="000F70A0" w:rsidRDefault="0082515A" w:rsidP="00503AD7">
      <w:pPr>
        <w:pStyle w:val="Default"/>
        <w:spacing w:line="240" w:lineRule="auto"/>
        <w:rPr>
          <w:color w:val="FF0000"/>
          <w:sz w:val="22"/>
          <w:szCs w:val="22"/>
        </w:rPr>
      </w:pPr>
    </w:p>
    <w:p w:rsidR="007A5ECC" w:rsidRPr="0082515A" w:rsidRDefault="007A5ECC" w:rsidP="00503AD7">
      <w:pPr>
        <w:pStyle w:val="Default"/>
        <w:spacing w:line="240" w:lineRule="auto"/>
        <w:jc w:val="center"/>
        <w:rPr>
          <w:b/>
          <w:bCs/>
          <w:iCs/>
        </w:rPr>
      </w:pPr>
      <w:r w:rsidRPr="0082515A">
        <w:rPr>
          <w:b/>
          <w:bCs/>
          <w:iCs/>
        </w:rPr>
        <w:t>TITOLO IV – DISPOSIZIONI PARTICOLARI</w:t>
      </w:r>
    </w:p>
    <w:p w:rsidR="007A5ECC" w:rsidRPr="0082515A" w:rsidRDefault="007A5ECC" w:rsidP="00503AD7">
      <w:pPr>
        <w:pStyle w:val="Default"/>
        <w:spacing w:line="240" w:lineRule="auto"/>
        <w:jc w:val="center"/>
        <w:rPr>
          <w:b/>
          <w:bCs/>
        </w:rPr>
      </w:pPr>
      <w:r w:rsidRPr="0082515A">
        <w:rPr>
          <w:b/>
          <w:bCs/>
        </w:rPr>
        <w:t>CAPO I – DISPOSIZIONI RIGUARDANTI LA MOBILITA’ INTERNAZIONALE</w:t>
      </w:r>
    </w:p>
    <w:p w:rsidR="007A5ECC" w:rsidRPr="0082515A" w:rsidRDefault="007A5ECC" w:rsidP="00503AD7">
      <w:pPr>
        <w:pStyle w:val="Default"/>
        <w:spacing w:line="240" w:lineRule="auto"/>
        <w:rPr>
          <w:b/>
          <w:bCs/>
        </w:rPr>
      </w:pPr>
    </w:p>
    <w:p w:rsidR="007A5ECC" w:rsidRPr="0082515A" w:rsidRDefault="007A5ECC" w:rsidP="00503AD7">
      <w:pPr>
        <w:pStyle w:val="Default"/>
        <w:spacing w:line="240" w:lineRule="auto"/>
        <w:rPr>
          <w:b/>
          <w:bCs/>
        </w:rPr>
      </w:pPr>
      <w:r w:rsidRPr="0082515A">
        <w:rPr>
          <w:b/>
          <w:bCs/>
        </w:rPr>
        <w:t>Art. 69 – Locazione di alloggi</w:t>
      </w:r>
    </w:p>
    <w:p w:rsidR="007A5ECC" w:rsidRPr="0082515A" w:rsidRDefault="007A5ECC" w:rsidP="00503AD7">
      <w:pPr>
        <w:pStyle w:val="Default"/>
        <w:spacing w:line="240" w:lineRule="auto"/>
      </w:pPr>
    </w:p>
    <w:p w:rsidR="007A5ECC" w:rsidRDefault="007A5ECC" w:rsidP="00503AD7">
      <w:pPr>
        <w:pStyle w:val="Default"/>
        <w:widowControl/>
        <w:numPr>
          <w:ilvl w:val="0"/>
          <w:numId w:val="78"/>
        </w:numPr>
        <w:tabs>
          <w:tab w:val="clear" w:pos="2880"/>
          <w:tab w:val="num" w:pos="360"/>
        </w:tabs>
        <w:spacing w:line="240" w:lineRule="auto"/>
        <w:ind w:left="360"/>
        <w:textAlignment w:val="auto"/>
      </w:pPr>
      <w:r w:rsidRPr="0082515A">
        <w:t xml:space="preserve">Il Politecnico di Bari può stipulare contratti di locazione, anche di breve durata, per alloggi da destinare all’ospitalità di studenti, docenti, ricercatori stranieri inseriti in programmi di mobilità internazionale. Le spese possono essere a carico degli ospiti o dell’Ateneo. Tale materia è disciplinata da apposito Regolamento. </w:t>
      </w:r>
    </w:p>
    <w:p w:rsidR="0082515A" w:rsidRDefault="0082515A" w:rsidP="0082515A">
      <w:pPr>
        <w:pStyle w:val="Default"/>
        <w:widowControl/>
        <w:spacing w:line="240" w:lineRule="auto"/>
        <w:ind w:left="360"/>
        <w:textAlignment w:val="auto"/>
      </w:pPr>
    </w:p>
    <w:p w:rsidR="0082515A" w:rsidRPr="0082515A" w:rsidRDefault="0082515A" w:rsidP="0082515A">
      <w:pPr>
        <w:pStyle w:val="Default"/>
        <w:widowControl/>
        <w:spacing w:line="240" w:lineRule="auto"/>
        <w:ind w:left="360"/>
        <w:textAlignment w:val="auto"/>
      </w:pPr>
    </w:p>
    <w:p w:rsidR="007A5ECC" w:rsidRPr="0082515A" w:rsidRDefault="007A5ECC" w:rsidP="00503AD7">
      <w:pPr>
        <w:pStyle w:val="Default"/>
        <w:spacing w:line="240" w:lineRule="auto"/>
        <w:jc w:val="center"/>
        <w:rPr>
          <w:bCs/>
        </w:rPr>
      </w:pPr>
    </w:p>
    <w:p w:rsidR="007A5ECC" w:rsidRPr="0082515A" w:rsidRDefault="007A5ECC" w:rsidP="00503AD7">
      <w:pPr>
        <w:pStyle w:val="Default"/>
        <w:spacing w:line="240" w:lineRule="auto"/>
        <w:jc w:val="center"/>
        <w:rPr>
          <w:b/>
          <w:bCs/>
        </w:rPr>
      </w:pPr>
      <w:r w:rsidRPr="0082515A">
        <w:rPr>
          <w:b/>
          <w:bCs/>
        </w:rPr>
        <w:lastRenderedPageBreak/>
        <w:t>CAPO II – DISPOSIZIONI RIGUARDANTI IL PERSONALE</w:t>
      </w:r>
    </w:p>
    <w:p w:rsidR="007A5ECC" w:rsidRPr="0082515A" w:rsidRDefault="007A5ECC" w:rsidP="00503AD7">
      <w:pPr>
        <w:pStyle w:val="Default"/>
        <w:spacing w:line="240" w:lineRule="auto"/>
        <w:rPr>
          <w:b/>
          <w:bCs/>
        </w:rPr>
      </w:pPr>
      <w:r w:rsidRPr="0082515A">
        <w:rPr>
          <w:b/>
          <w:bCs/>
        </w:rPr>
        <w:t>Art. 70 – Missioni, trasferte e mobilità</w:t>
      </w:r>
    </w:p>
    <w:p w:rsidR="007A5ECC" w:rsidRPr="0082515A" w:rsidRDefault="007A5ECC" w:rsidP="00503AD7">
      <w:pPr>
        <w:pStyle w:val="Default"/>
        <w:spacing w:line="240" w:lineRule="auto"/>
      </w:pPr>
    </w:p>
    <w:p w:rsidR="007A5ECC" w:rsidRPr="0082515A" w:rsidRDefault="007A5ECC" w:rsidP="00503AD7">
      <w:pPr>
        <w:pStyle w:val="Default"/>
        <w:widowControl/>
        <w:numPr>
          <w:ilvl w:val="0"/>
          <w:numId w:val="79"/>
        </w:numPr>
        <w:tabs>
          <w:tab w:val="clear" w:pos="2880"/>
          <w:tab w:val="num" w:pos="360"/>
        </w:tabs>
        <w:spacing w:line="240" w:lineRule="auto"/>
        <w:ind w:left="360"/>
        <w:textAlignment w:val="auto"/>
      </w:pPr>
      <w:r w:rsidRPr="0082515A">
        <w:t>L’affidamento e lo svolgimento di incarichi di missione e trasferta è disciplinato dallo specifico Regolamento di Ateneo, nel rispetto della normativa nazionale.</w:t>
      </w:r>
    </w:p>
    <w:p w:rsidR="007A5ECC" w:rsidRPr="0082515A" w:rsidRDefault="007A5ECC" w:rsidP="00503AD7">
      <w:pPr>
        <w:pStyle w:val="Default"/>
        <w:widowControl/>
        <w:numPr>
          <w:ilvl w:val="0"/>
          <w:numId w:val="79"/>
        </w:numPr>
        <w:tabs>
          <w:tab w:val="clear" w:pos="2880"/>
          <w:tab w:val="num" w:pos="360"/>
        </w:tabs>
        <w:spacing w:line="240" w:lineRule="auto"/>
        <w:ind w:left="360"/>
        <w:textAlignment w:val="auto"/>
      </w:pPr>
      <w:r w:rsidRPr="0082515A">
        <w:t xml:space="preserve">Il Politecnico di Bari può assumere l’onere delle spese relative alla mobilità dei dottorandi di ricerca e dei titolari di contratti di formazione specialistica connessa alle attività di studio e di formazione da svolgersi fuori sede, sia in Italia che all’estero. L’onere può comprendere, in tutto o in parte, le spese di viaggio e di soggiorno (vitto e alloggio), le quote di iscrizione a corsi specialistici, congressi e convegni, alle condizioni ed entro gli importi stabiliti dall’apposito Regolamento. Tali oneri gravano su fondi stanziati in bilancio dal Consiglio di Amministrazione o su fondi delle Strutture di appartenenza, ivi compresi i fondi di ricerca. </w:t>
      </w:r>
    </w:p>
    <w:p w:rsidR="007A5ECC" w:rsidRDefault="007A5ECC" w:rsidP="00503AD7">
      <w:pPr>
        <w:pStyle w:val="Default"/>
        <w:spacing w:line="240" w:lineRule="auto"/>
        <w:rPr>
          <w:b/>
          <w:bCs/>
          <w:sz w:val="22"/>
          <w:szCs w:val="22"/>
        </w:rPr>
      </w:pPr>
    </w:p>
    <w:p w:rsidR="007A5ECC" w:rsidRPr="0082515A" w:rsidRDefault="007A5ECC" w:rsidP="00503AD7">
      <w:pPr>
        <w:pStyle w:val="Default"/>
        <w:spacing w:line="240" w:lineRule="auto"/>
        <w:rPr>
          <w:b/>
          <w:bCs/>
        </w:rPr>
      </w:pPr>
      <w:r w:rsidRPr="0082515A">
        <w:rPr>
          <w:b/>
          <w:bCs/>
        </w:rPr>
        <w:t>Art. 71 – Indennità di funzione e spese di funzionamento degli organi</w:t>
      </w:r>
    </w:p>
    <w:p w:rsidR="007A5ECC" w:rsidRPr="0082515A" w:rsidRDefault="007A5ECC" w:rsidP="00503AD7">
      <w:pPr>
        <w:pStyle w:val="Default"/>
        <w:spacing w:line="240" w:lineRule="auto"/>
      </w:pPr>
    </w:p>
    <w:p w:rsidR="007A5ECC" w:rsidRPr="0082515A" w:rsidRDefault="007A5ECC" w:rsidP="00503AD7">
      <w:pPr>
        <w:pStyle w:val="Default"/>
        <w:widowControl/>
        <w:numPr>
          <w:ilvl w:val="0"/>
          <w:numId w:val="80"/>
        </w:numPr>
        <w:tabs>
          <w:tab w:val="clear" w:pos="2880"/>
          <w:tab w:val="num" w:pos="360"/>
        </w:tabs>
        <w:spacing w:line="240" w:lineRule="auto"/>
        <w:ind w:left="360"/>
        <w:textAlignment w:val="auto"/>
      </w:pPr>
      <w:r w:rsidRPr="0082515A">
        <w:t>Il Consiglio di Amministrazione può prevedere la corresponsione di specifiche indennità ai componenti degli Organi Collegiali di governo dell’Ateneo.</w:t>
      </w:r>
    </w:p>
    <w:p w:rsidR="007A5ECC" w:rsidRPr="0082515A" w:rsidRDefault="007A5ECC" w:rsidP="00503AD7">
      <w:pPr>
        <w:pStyle w:val="Default"/>
        <w:widowControl/>
        <w:numPr>
          <w:ilvl w:val="0"/>
          <w:numId w:val="80"/>
        </w:numPr>
        <w:tabs>
          <w:tab w:val="clear" w:pos="2880"/>
          <w:tab w:val="num" w:pos="360"/>
        </w:tabs>
        <w:spacing w:line="240" w:lineRule="auto"/>
        <w:ind w:left="360"/>
        <w:textAlignment w:val="auto"/>
      </w:pPr>
      <w:r w:rsidRPr="0082515A">
        <w:t>Ai titolari di una carica può essere riconosciuta un’indennità di funzione, nel rispetto dello Statuto e della normativa vigente.</w:t>
      </w:r>
    </w:p>
    <w:p w:rsidR="007A5ECC" w:rsidRDefault="007A5ECC" w:rsidP="00503AD7">
      <w:pPr>
        <w:pStyle w:val="Default"/>
        <w:spacing w:line="240" w:lineRule="auto"/>
        <w:rPr>
          <w:b/>
          <w:bCs/>
          <w:sz w:val="22"/>
          <w:szCs w:val="22"/>
        </w:rPr>
      </w:pPr>
    </w:p>
    <w:p w:rsidR="007A5ECC" w:rsidRPr="0082515A" w:rsidRDefault="007A5ECC" w:rsidP="00503AD7">
      <w:pPr>
        <w:pStyle w:val="Default"/>
        <w:spacing w:line="240" w:lineRule="auto"/>
        <w:rPr>
          <w:b/>
          <w:bCs/>
        </w:rPr>
      </w:pPr>
      <w:r w:rsidRPr="0082515A">
        <w:rPr>
          <w:b/>
          <w:bCs/>
        </w:rPr>
        <w:t>Art. 72 – Erogazioni varie e servizi sociali, ricreativi e culturali</w:t>
      </w:r>
    </w:p>
    <w:p w:rsidR="007A5ECC" w:rsidRPr="0082515A" w:rsidRDefault="007A5ECC" w:rsidP="00503AD7">
      <w:pPr>
        <w:pStyle w:val="Default"/>
        <w:spacing w:line="240" w:lineRule="auto"/>
        <w:rPr>
          <w:b/>
          <w:bCs/>
        </w:rPr>
      </w:pPr>
    </w:p>
    <w:p w:rsidR="007A5ECC" w:rsidRPr="0082515A" w:rsidRDefault="007A5ECC" w:rsidP="00503AD7">
      <w:pPr>
        <w:pStyle w:val="Default"/>
        <w:widowControl/>
        <w:numPr>
          <w:ilvl w:val="0"/>
          <w:numId w:val="87"/>
        </w:numPr>
        <w:tabs>
          <w:tab w:val="clear" w:pos="2880"/>
          <w:tab w:val="num" w:pos="360"/>
        </w:tabs>
        <w:spacing w:line="240" w:lineRule="auto"/>
        <w:ind w:left="360"/>
        <w:textAlignment w:val="auto"/>
        <w:rPr>
          <w:bCs/>
        </w:rPr>
      </w:pPr>
      <w:r w:rsidRPr="0082515A">
        <w:rPr>
          <w:bCs/>
        </w:rPr>
        <w:t>Il Consiglio di Amministrazione delibera annualmente il finanziamento dei servizi volti a favorire iniziative di carattere culturale, sociale e ricreativo in favore del personale. In particolare, i finanziamenti sono finalizzati a:</w:t>
      </w:r>
    </w:p>
    <w:p w:rsidR="007A5ECC" w:rsidRPr="0082515A" w:rsidRDefault="007A5ECC" w:rsidP="00503AD7">
      <w:pPr>
        <w:pStyle w:val="Default"/>
        <w:widowControl/>
        <w:numPr>
          <w:ilvl w:val="1"/>
          <w:numId w:val="87"/>
        </w:numPr>
        <w:tabs>
          <w:tab w:val="clear" w:pos="1440"/>
          <w:tab w:val="num" w:pos="720"/>
        </w:tabs>
        <w:spacing w:line="240" w:lineRule="auto"/>
        <w:ind w:left="720"/>
        <w:textAlignment w:val="auto"/>
        <w:rPr>
          <w:bCs/>
        </w:rPr>
      </w:pPr>
      <w:proofErr w:type="gramStart"/>
      <w:r w:rsidRPr="0082515A">
        <w:rPr>
          <w:bCs/>
        </w:rPr>
        <w:t>promuovere</w:t>
      </w:r>
      <w:proofErr w:type="gramEnd"/>
      <w:r w:rsidRPr="0082515A">
        <w:rPr>
          <w:bCs/>
        </w:rPr>
        <w:t xml:space="preserve"> servizi ed erogare sussidi a sostegno della qualità di vita e del benessere organizzativo;</w:t>
      </w:r>
    </w:p>
    <w:p w:rsidR="007A5ECC" w:rsidRPr="0082515A" w:rsidRDefault="007A5ECC" w:rsidP="00503AD7">
      <w:pPr>
        <w:pStyle w:val="Default"/>
        <w:widowControl/>
        <w:numPr>
          <w:ilvl w:val="1"/>
          <w:numId w:val="87"/>
        </w:numPr>
        <w:tabs>
          <w:tab w:val="clear" w:pos="1440"/>
          <w:tab w:val="num" w:pos="720"/>
        </w:tabs>
        <w:spacing w:line="240" w:lineRule="auto"/>
        <w:ind w:left="720"/>
        <w:textAlignment w:val="auto"/>
        <w:rPr>
          <w:bCs/>
        </w:rPr>
      </w:pPr>
      <w:proofErr w:type="gramStart"/>
      <w:r w:rsidRPr="0082515A">
        <w:rPr>
          <w:bCs/>
        </w:rPr>
        <w:t>realizzare</w:t>
      </w:r>
      <w:proofErr w:type="gramEnd"/>
      <w:r w:rsidRPr="0082515A">
        <w:rPr>
          <w:bCs/>
        </w:rPr>
        <w:t xml:space="preserve"> azioni positive dirette alla soluzione di problematiche sociali collegate al rapporto di lavoro;</w:t>
      </w:r>
    </w:p>
    <w:p w:rsidR="007A5ECC" w:rsidRPr="0082515A" w:rsidRDefault="007A5ECC" w:rsidP="00503AD7">
      <w:pPr>
        <w:pStyle w:val="Default"/>
        <w:widowControl/>
        <w:numPr>
          <w:ilvl w:val="1"/>
          <w:numId w:val="87"/>
        </w:numPr>
        <w:tabs>
          <w:tab w:val="clear" w:pos="1440"/>
          <w:tab w:val="num" w:pos="720"/>
        </w:tabs>
        <w:spacing w:line="240" w:lineRule="auto"/>
        <w:ind w:left="720"/>
        <w:textAlignment w:val="auto"/>
        <w:rPr>
          <w:bCs/>
        </w:rPr>
      </w:pPr>
      <w:proofErr w:type="gramStart"/>
      <w:r w:rsidRPr="0082515A">
        <w:rPr>
          <w:bCs/>
        </w:rPr>
        <w:t>attivare</w:t>
      </w:r>
      <w:proofErr w:type="gramEnd"/>
      <w:r w:rsidRPr="0082515A">
        <w:rPr>
          <w:bCs/>
        </w:rPr>
        <w:t xml:space="preserve"> servizi sociali, ricreativi e culturali, e di sostegno socio-sanitario.</w:t>
      </w:r>
    </w:p>
    <w:p w:rsidR="007A5ECC" w:rsidRPr="0082515A" w:rsidRDefault="007A5ECC" w:rsidP="00503AD7">
      <w:pPr>
        <w:pStyle w:val="Default"/>
        <w:widowControl/>
        <w:numPr>
          <w:ilvl w:val="0"/>
          <w:numId w:val="88"/>
        </w:numPr>
        <w:tabs>
          <w:tab w:val="clear" w:pos="1440"/>
          <w:tab w:val="num" w:pos="360"/>
        </w:tabs>
        <w:spacing w:line="240" w:lineRule="auto"/>
        <w:ind w:left="360"/>
        <w:textAlignment w:val="auto"/>
        <w:rPr>
          <w:bCs/>
        </w:rPr>
      </w:pPr>
      <w:r w:rsidRPr="0082515A">
        <w:rPr>
          <w:bCs/>
        </w:rPr>
        <w:t>Nell’esclusivo interesse dell’Ateneo, il Politecnico può stipulare polizze assicurative a copertura dei rischi che rientrano nella sfera della propria responsabilità patrimoniale, diretta e indiretta per fatto del dipendente, anche rappresentante negli Organi di governo, per colpa lieve. Il Politecnico può altresì stipulare polizze assicurative per soggetti che svolgono funzioni rappresentative istituzionali dell’Ateneo in soggetti terzi a copertura della responsabilità civile e per soggetti che svolgono attività istituzionale in Paesi non europei, a copertura dei servizi sanitari. Il Politecnico può inoltre stipulare polizze assicurative per il maneggio di denaro in favore di chi gestisce fondi cassa.</w:t>
      </w:r>
    </w:p>
    <w:p w:rsidR="007A5ECC" w:rsidRPr="0082515A" w:rsidRDefault="007A5ECC" w:rsidP="00503AD7">
      <w:pPr>
        <w:pStyle w:val="Default"/>
        <w:widowControl/>
        <w:numPr>
          <w:ilvl w:val="0"/>
          <w:numId w:val="88"/>
        </w:numPr>
        <w:tabs>
          <w:tab w:val="clear" w:pos="1440"/>
          <w:tab w:val="num" w:pos="360"/>
        </w:tabs>
        <w:spacing w:line="240" w:lineRule="auto"/>
        <w:ind w:left="360"/>
        <w:textAlignment w:val="auto"/>
        <w:rPr>
          <w:bCs/>
        </w:rPr>
      </w:pPr>
      <w:r w:rsidRPr="0082515A">
        <w:rPr>
          <w:bCs/>
        </w:rPr>
        <w:t>L’Ateneo, al fine di promuovere iniziative per attività sociali, culturali e ricreative, può erogare ad associazioni e circoli ricreativi costituiti tra il personale dipendente, specifici contributi per concorrere alle relative attività, nel rispetto della normativa vigente.</w:t>
      </w:r>
    </w:p>
    <w:p w:rsidR="007A5ECC" w:rsidRPr="0082515A" w:rsidRDefault="007A5ECC" w:rsidP="00503AD7">
      <w:pPr>
        <w:pStyle w:val="Default"/>
        <w:widowControl/>
        <w:numPr>
          <w:ilvl w:val="0"/>
          <w:numId w:val="88"/>
        </w:numPr>
        <w:tabs>
          <w:tab w:val="clear" w:pos="1440"/>
          <w:tab w:val="num" w:pos="360"/>
        </w:tabs>
        <w:spacing w:line="240" w:lineRule="auto"/>
        <w:ind w:left="360"/>
        <w:textAlignment w:val="auto"/>
        <w:rPr>
          <w:bCs/>
        </w:rPr>
      </w:pPr>
      <w:r w:rsidRPr="0082515A">
        <w:rPr>
          <w:bCs/>
        </w:rPr>
        <w:t>La gestione di tali attività può essere affidata ad organismi costituiti da rappresentanti dei dipendenti e dell’Amministrazione, sulla base di un’apposita convenzione.</w:t>
      </w:r>
    </w:p>
    <w:p w:rsidR="007A5ECC" w:rsidRDefault="007A5ECC" w:rsidP="00503AD7">
      <w:pPr>
        <w:pStyle w:val="Default"/>
        <w:spacing w:line="240" w:lineRule="auto"/>
        <w:rPr>
          <w:b/>
          <w:bCs/>
          <w:sz w:val="22"/>
          <w:szCs w:val="22"/>
        </w:rPr>
      </w:pPr>
    </w:p>
    <w:p w:rsidR="007A5ECC" w:rsidRPr="0082515A" w:rsidRDefault="007A5ECC" w:rsidP="00503AD7">
      <w:pPr>
        <w:pStyle w:val="Default"/>
        <w:spacing w:line="240" w:lineRule="auto"/>
        <w:rPr>
          <w:b/>
          <w:bCs/>
        </w:rPr>
      </w:pPr>
      <w:r w:rsidRPr="0082515A">
        <w:rPr>
          <w:b/>
          <w:bCs/>
        </w:rPr>
        <w:t>Art. 73 – Collaborazioni esterne</w:t>
      </w:r>
    </w:p>
    <w:p w:rsidR="007A5ECC" w:rsidRPr="0082515A" w:rsidRDefault="007A5ECC" w:rsidP="00503AD7">
      <w:pPr>
        <w:pStyle w:val="Default"/>
        <w:spacing w:line="240" w:lineRule="auto"/>
      </w:pPr>
    </w:p>
    <w:p w:rsidR="007A5ECC" w:rsidRPr="0082515A" w:rsidRDefault="007A5ECC" w:rsidP="00503AD7">
      <w:pPr>
        <w:pStyle w:val="Default"/>
        <w:widowControl/>
        <w:numPr>
          <w:ilvl w:val="0"/>
          <w:numId w:val="81"/>
        </w:numPr>
        <w:tabs>
          <w:tab w:val="clear" w:pos="2880"/>
          <w:tab w:val="left" w:pos="360"/>
        </w:tabs>
        <w:spacing w:line="240" w:lineRule="auto"/>
        <w:ind w:left="360"/>
        <w:textAlignment w:val="auto"/>
      </w:pPr>
      <w:r w:rsidRPr="0082515A">
        <w:t>Il Politecnico provvede, di regola, all’assolvimento dei compiti istituzionali avvalendosi del personale dipendente nell’ambito del rapporto di servizio.</w:t>
      </w:r>
    </w:p>
    <w:p w:rsidR="007A5ECC" w:rsidRPr="0082515A" w:rsidRDefault="007A5ECC" w:rsidP="00503AD7">
      <w:pPr>
        <w:pStyle w:val="Default"/>
        <w:widowControl/>
        <w:numPr>
          <w:ilvl w:val="0"/>
          <w:numId w:val="81"/>
        </w:numPr>
        <w:tabs>
          <w:tab w:val="clear" w:pos="2880"/>
          <w:tab w:val="left" w:pos="360"/>
        </w:tabs>
        <w:spacing w:line="240" w:lineRule="auto"/>
        <w:ind w:left="360"/>
        <w:textAlignment w:val="auto"/>
      </w:pPr>
      <w:r w:rsidRPr="0082515A">
        <w:lastRenderedPageBreak/>
        <w:t>Per ragioni eccezionali e motivate, o per materie che esulino dalle competenze o dai compiti istituzionali ovvero richiedano iscrizioni in albi professionali oppure qualora non sia possibile avvalersi di prestazioni ordinarie e straordinarie del personale dipendente, ovvero ancora nei casi di carenza di specifiche professionalità interne, oltre che nei casi espressamente contemplati da norme legislative e contrattuali, è consentito il ricorso a prestazioni di soggetti terzi con le modalità e nel rispetto dalla regolamentazione interna di Ateneo e dalla normativa nazionale in materia.</w:t>
      </w:r>
    </w:p>
    <w:p w:rsidR="007A5ECC" w:rsidRPr="0082515A" w:rsidRDefault="007A5ECC" w:rsidP="00503AD7">
      <w:pPr>
        <w:pStyle w:val="Default"/>
        <w:widowControl/>
        <w:numPr>
          <w:ilvl w:val="0"/>
          <w:numId w:val="81"/>
        </w:numPr>
        <w:tabs>
          <w:tab w:val="clear" w:pos="2880"/>
          <w:tab w:val="left" w:pos="360"/>
        </w:tabs>
        <w:spacing w:line="240" w:lineRule="auto"/>
        <w:ind w:left="360"/>
        <w:textAlignment w:val="auto"/>
      </w:pPr>
      <w:r w:rsidRPr="0082515A">
        <w:t xml:space="preserve">Il Politecnico può affidare compiti di insegnamento curriculari attivati dall’Ateneo a personale esterno di comprovata qualificazione relativa all’oggetto di insegnamento con le modalità definite dalla normativa nazionale in materia e dalla regolamentazione interna d’Ateneo. </w:t>
      </w:r>
    </w:p>
    <w:p w:rsidR="007A5ECC" w:rsidRPr="0082515A" w:rsidRDefault="007A5ECC" w:rsidP="009677F3">
      <w:pPr>
        <w:pStyle w:val="Default"/>
        <w:widowControl/>
        <w:tabs>
          <w:tab w:val="left" w:pos="360"/>
        </w:tabs>
        <w:spacing w:line="240" w:lineRule="auto"/>
        <w:textAlignment w:val="auto"/>
      </w:pPr>
    </w:p>
    <w:p w:rsidR="007A5ECC" w:rsidRDefault="007A5ECC" w:rsidP="0082515A">
      <w:pPr>
        <w:pStyle w:val="Default"/>
        <w:spacing w:line="240" w:lineRule="auto"/>
        <w:rPr>
          <w:bCs/>
          <w:sz w:val="22"/>
          <w:szCs w:val="22"/>
        </w:rPr>
      </w:pPr>
    </w:p>
    <w:p w:rsidR="007A5ECC" w:rsidRDefault="007A5ECC" w:rsidP="00503AD7">
      <w:pPr>
        <w:pStyle w:val="Default"/>
        <w:spacing w:line="240" w:lineRule="auto"/>
        <w:jc w:val="center"/>
        <w:rPr>
          <w:bCs/>
          <w:sz w:val="22"/>
          <w:szCs w:val="22"/>
        </w:rPr>
      </w:pPr>
    </w:p>
    <w:p w:rsidR="007A5ECC" w:rsidRDefault="007A5ECC" w:rsidP="00503AD7">
      <w:pPr>
        <w:pStyle w:val="Default"/>
        <w:spacing w:line="240" w:lineRule="auto"/>
        <w:jc w:val="center"/>
        <w:rPr>
          <w:b/>
          <w:bCs/>
          <w:sz w:val="22"/>
          <w:szCs w:val="22"/>
        </w:rPr>
      </w:pPr>
      <w:r w:rsidRPr="009677F3">
        <w:rPr>
          <w:b/>
          <w:bCs/>
          <w:sz w:val="22"/>
          <w:szCs w:val="22"/>
        </w:rPr>
        <w:t>CAPO III – DISPOSIZIONI VARIE</w:t>
      </w:r>
    </w:p>
    <w:p w:rsidR="007A5ECC" w:rsidRPr="009677F3" w:rsidRDefault="007A5ECC" w:rsidP="00503AD7">
      <w:pPr>
        <w:pStyle w:val="Default"/>
        <w:spacing w:line="240" w:lineRule="auto"/>
        <w:jc w:val="center"/>
        <w:rPr>
          <w:b/>
          <w:bCs/>
          <w:sz w:val="22"/>
          <w:szCs w:val="22"/>
        </w:rPr>
      </w:pPr>
    </w:p>
    <w:p w:rsidR="007A5ECC" w:rsidRPr="0082515A" w:rsidRDefault="007A5ECC" w:rsidP="00503AD7">
      <w:pPr>
        <w:pStyle w:val="Default"/>
        <w:spacing w:line="240" w:lineRule="auto"/>
        <w:rPr>
          <w:b/>
          <w:bCs/>
        </w:rPr>
      </w:pPr>
      <w:r w:rsidRPr="0082515A">
        <w:rPr>
          <w:b/>
          <w:bCs/>
        </w:rPr>
        <w:t>Art. 74 – Partecipazione a procedure ad evidenza pubblica</w:t>
      </w:r>
    </w:p>
    <w:p w:rsidR="007A5ECC" w:rsidRPr="0082515A" w:rsidRDefault="007A5ECC" w:rsidP="00503AD7">
      <w:pPr>
        <w:pStyle w:val="Default"/>
        <w:spacing w:line="240" w:lineRule="auto"/>
      </w:pPr>
    </w:p>
    <w:p w:rsidR="007A5ECC" w:rsidRPr="0082515A" w:rsidRDefault="007A5ECC" w:rsidP="00503AD7">
      <w:pPr>
        <w:pStyle w:val="Default"/>
        <w:widowControl/>
        <w:numPr>
          <w:ilvl w:val="0"/>
          <w:numId w:val="82"/>
        </w:numPr>
        <w:tabs>
          <w:tab w:val="clear" w:pos="2880"/>
          <w:tab w:val="num" w:pos="360"/>
        </w:tabs>
        <w:spacing w:line="240" w:lineRule="auto"/>
        <w:ind w:left="360"/>
        <w:textAlignment w:val="auto"/>
      </w:pPr>
      <w:r w:rsidRPr="0082515A">
        <w:t>L’Ateneo, in proprio e tramite i Dipartimenti e gli altri Centri autonomi di gestione, può partecipare a procedure per l’affidamento di appalti pubblici di servizi nei limiti fissati dalla normativa nazionale e comunitaria. Tale partecipazione è in ogni caso circoscritta agli appalti di servizio che rientrino nei fini istituzionali dell’Ateneo, e che non concretizzino attività professionale tipica concorrenziale sul mercato.</w:t>
      </w:r>
    </w:p>
    <w:p w:rsidR="007A5ECC" w:rsidRPr="0082515A" w:rsidRDefault="007A5ECC" w:rsidP="00503AD7">
      <w:pPr>
        <w:pStyle w:val="Default"/>
        <w:widowControl/>
        <w:numPr>
          <w:ilvl w:val="0"/>
          <w:numId w:val="82"/>
        </w:numPr>
        <w:tabs>
          <w:tab w:val="clear" w:pos="2880"/>
          <w:tab w:val="num" w:pos="360"/>
        </w:tabs>
        <w:spacing w:line="240" w:lineRule="auto"/>
        <w:ind w:left="360"/>
        <w:textAlignment w:val="auto"/>
      </w:pPr>
      <w:r w:rsidRPr="0082515A">
        <w:t>La partecipazione a procedure a evidenza pubblica può avvenire unicamente previa valutazione dei costi pieni (vivi e spese generali) e previa autorizzazione del Rettore. L’eventuale conseguente contratto rientrerà nell’ambito della Regolamentazione del Conto Terzi.</w:t>
      </w:r>
    </w:p>
    <w:p w:rsidR="007A5ECC" w:rsidRPr="0082515A" w:rsidRDefault="007A5ECC" w:rsidP="00503AD7">
      <w:pPr>
        <w:pStyle w:val="Default"/>
        <w:spacing w:line="240" w:lineRule="auto"/>
        <w:rPr>
          <w:b/>
          <w:bCs/>
        </w:rPr>
      </w:pPr>
    </w:p>
    <w:p w:rsidR="007A5ECC" w:rsidRPr="0082515A" w:rsidRDefault="007A5ECC" w:rsidP="00503AD7">
      <w:pPr>
        <w:pStyle w:val="Default"/>
        <w:spacing w:line="240" w:lineRule="auto"/>
        <w:rPr>
          <w:b/>
          <w:bCs/>
        </w:rPr>
      </w:pPr>
      <w:r w:rsidRPr="0082515A">
        <w:rPr>
          <w:b/>
          <w:bCs/>
        </w:rPr>
        <w:t>Art. 75 – Rappresentanza e difesa in giudizio</w:t>
      </w:r>
    </w:p>
    <w:p w:rsidR="007A5ECC" w:rsidRPr="0082515A" w:rsidRDefault="007A5ECC" w:rsidP="00503AD7">
      <w:pPr>
        <w:pStyle w:val="Default"/>
        <w:spacing w:line="240" w:lineRule="auto"/>
      </w:pPr>
    </w:p>
    <w:p w:rsidR="007A5ECC" w:rsidRPr="0082515A" w:rsidRDefault="007A5ECC" w:rsidP="00503AD7">
      <w:pPr>
        <w:pStyle w:val="Default"/>
        <w:widowControl/>
        <w:numPr>
          <w:ilvl w:val="0"/>
          <w:numId w:val="83"/>
        </w:numPr>
        <w:tabs>
          <w:tab w:val="clear" w:pos="2880"/>
          <w:tab w:val="num" w:pos="360"/>
        </w:tabs>
        <w:spacing w:line="240" w:lineRule="auto"/>
        <w:ind w:left="360"/>
        <w:textAlignment w:val="auto"/>
      </w:pPr>
      <w:r w:rsidRPr="0082515A">
        <w:t>Il Politecnico promuove e resiste alle liti avvalendosi dell’Avvocatura dello Stato ovvero, con delibera del Consiglio di Amministrazione, di avvocati del libero foro.</w:t>
      </w:r>
    </w:p>
    <w:p w:rsidR="007A5ECC" w:rsidRPr="0082515A" w:rsidRDefault="007A5ECC" w:rsidP="00503AD7">
      <w:pPr>
        <w:pStyle w:val="Default"/>
        <w:widowControl/>
        <w:numPr>
          <w:ilvl w:val="0"/>
          <w:numId w:val="83"/>
        </w:numPr>
        <w:tabs>
          <w:tab w:val="clear" w:pos="2880"/>
          <w:tab w:val="num" w:pos="360"/>
        </w:tabs>
        <w:spacing w:line="240" w:lineRule="auto"/>
        <w:ind w:left="360"/>
        <w:textAlignment w:val="auto"/>
      </w:pPr>
      <w:r w:rsidRPr="0082515A">
        <w:t>Nei giudizi arbitrali, il Direttore Generale designa l’arbitro del Politecnico di Bari scegliendolo tra avvocati dello Stato, professionisti, magistrati, funzionari della Pubblica Amministrazione, in base alla specifica competenza e professionalità necessaria, salvo eventuali incompatibilità e divieti imposti dalla normativa.</w:t>
      </w:r>
    </w:p>
    <w:p w:rsidR="007A5ECC" w:rsidRPr="0082515A" w:rsidRDefault="007A5ECC" w:rsidP="00503AD7">
      <w:pPr>
        <w:pStyle w:val="Default"/>
        <w:widowControl/>
        <w:numPr>
          <w:ilvl w:val="0"/>
          <w:numId w:val="83"/>
        </w:numPr>
        <w:tabs>
          <w:tab w:val="clear" w:pos="2880"/>
          <w:tab w:val="num" w:pos="360"/>
        </w:tabs>
        <w:spacing w:line="240" w:lineRule="auto"/>
        <w:ind w:left="360"/>
        <w:textAlignment w:val="auto"/>
      </w:pPr>
      <w:r w:rsidRPr="0082515A">
        <w:t>Il Politecnico ha comunque facoltà di essere rappresentato e difeso da propri funzionari all’uopo incaricati, nei casi in cui l’ordinamento giuridico ne prevede la rappresentanza in giudizio.</w:t>
      </w:r>
    </w:p>
    <w:p w:rsidR="007A5ECC" w:rsidRPr="0082515A" w:rsidRDefault="007A5ECC" w:rsidP="00503AD7">
      <w:pPr>
        <w:pStyle w:val="Default"/>
        <w:widowControl/>
        <w:numPr>
          <w:ilvl w:val="0"/>
          <w:numId w:val="83"/>
        </w:numPr>
        <w:tabs>
          <w:tab w:val="clear" w:pos="2880"/>
          <w:tab w:val="num" w:pos="360"/>
        </w:tabs>
        <w:spacing w:line="240" w:lineRule="auto"/>
        <w:ind w:left="360"/>
        <w:textAlignment w:val="auto"/>
      </w:pPr>
      <w:r w:rsidRPr="0082515A">
        <w:t>L’attività prestata nell’ambito delle fattispecie di cui ai commi 1 e 2 è retribuita secondo le disposizioni che disciplinano la materia.</w:t>
      </w:r>
    </w:p>
    <w:p w:rsidR="007A5ECC" w:rsidRPr="0082515A" w:rsidRDefault="007A5ECC" w:rsidP="00503AD7">
      <w:pPr>
        <w:pStyle w:val="Default"/>
        <w:spacing w:line="240" w:lineRule="auto"/>
        <w:rPr>
          <w:b/>
          <w:bCs/>
        </w:rPr>
      </w:pPr>
    </w:p>
    <w:p w:rsidR="007A5ECC" w:rsidRPr="0082515A" w:rsidRDefault="007A5ECC" w:rsidP="00503AD7">
      <w:pPr>
        <w:pStyle w:val="Default"/>
        <w:spacing w:line="240" w:lineRule="auto"/>
        <w:rPr>
          <w:b/>
          <w:bCs/>
        </w:rPr>
      </w:pPr>
      <w:r w:rsidRPr="0082515A">
        <w:rPr>
          <w:b/>
          <w:bCs/>
        </w:rPr>
        <w:t>Art. 76 – Conservazione dei documenti</w:t>
      </w:r>
    </w:p>
    <w:p w:rsidR="007A5ECC" w:rsidRPr="0082515A" w:rsidRDefault="007A5ECC" w:rsidP="00503AD7">
      <w:pPr>
        <w:pStyle w:val="Default"/>
        <w:spacing w:line="240" w:lineRule="auto"/>
      </w:pPr>
    </w:p>
    <w:p w:rsidR="007A5ECC" w:rsidRPr="0082515A" w:rsidRDefault="007A5ECC" w:rsidP="00503AD7">
      <w:pPr>
        <w:pStyle w:val="Default"/>
        <w:widowControl/>
        <w:numPr>
          <w:ilvl w:val="0"/>
          <w:numId w:val="84"/>
        </w:numPr>
        <w:tabs>
          <w:tab w:val="clear" w:pos="2880"/>
          <w:tab w:val="num" w:pos="360"/>
        </w:tabs>
        <w:spacing w:line="240" w:lineRule="auto"/>
        <w:ind w:left="360"/>
        <w:textAlignment w:val="auto"/>
      </w:pPr>
      <w:r w:rsidRPr="0082515A">
        <w:t>Per la conservazione e la selezione conservativa dei documenti dell’Ateneo, si rinvia alle disposizioni contenute nel Manuale di gestione del Protocollo Informatico, del flusso documentale e dell’archivio del Politecnico di Bari.</w:t>
      </w:r>
    </w:p>
    <w:p w:rsidR="007A5ECC" w:rsidRDefault="007A5ECC" w:rsidP="00503AD7">
      <w:pPr>
        <w:pStyle w:val="Default"/>
        <w:spacing w:line="240" w:lineRule="auto"/>
        <w:jc w:val="center"/>
        <w:rPr>
          <w:b/>
          <w:bCs/>
          <w:iCs/>
          <w:sz w:val="22"/>
          <w:szCs w:val="22"/>
          <w:lang w:eastAsia="en-US"/>
        </w:rPr>
      </w:pPr>
    </w:p>
    <w:p w:rsidR="0082515A" w:rsidRDefault="0082515A" w:rsidP="00503AD7">
      <w:pPr>
        <w:pStyle w:val="Default"/>
        <w:spacing w:line="240" w:lineRule="auto"/>
        <w:jc w:val="center"/>
        <w:rPr>
          <w:b/>
          <w:bCs/>
          <w:iCs/>
          <w:sz w:val="22"/>
          <w:szCs w:val="22"/>
          <w:lang w:eastAsia="en-US"/>
        </w:rPr>
      </w:pPr>
    </w:p>
    <w:p w:rsidR="0082515A" w:rsidRDefault="0082515A" w:rsidP="00503AD7">
      <w:pPr>
        <w:pStyle w:val="Default"/>
        <w:spacing w:line="240" w:lineRule="auto"/>
        <w:jc w:val="center"/>
        <w:rPr>
          <w:b/>
          <w:bCs/>
          <w:iCs/>
          <w:sz w:val="22"/>
          <w:szCs w:val="22"/>
          <w:lang w:eastAsia="en-US"/>
        </w:rPr>
      </w:pPr>
    </w:p>
    <w:p w:rsidR="0082515A" w:rsidRDefault="0082515A" w:rsidP="00503AD7">
      <w:pPr>
        <w:pStyle w:val="Default"/>
        <w:spacing w:line="240" w:lineRule="auto"/>
        <w:jc w:val="center"/>
        <w:rPr>
          <w:b/>
          <w:bCs/>
          <w:iCs/>
          <w:sz w:val="22"/>
          <w:szCs w:val="22"/>
          <w:lang w:eastAsia="en-US"/>
        </w:rPr>
      </w:pPr>
    </w:p>
    <w:p w:rsidR="0082515A" w:rsidRDefault="0082515A" w:rsidP="00503AD7">
      <w:pPr>
        <w:pStyle w:val="Default"/>
        <w:spacing w:line="240" w:lineRule="auto"/>
        <w:jc w:val="center"/>
        <w:rPr>
          <w:b/>
          <w:bCs/>
          <w:iCs/>
          <w:sz w:val="22"/>
          <w:szCs w:val="22"/>
          <w:lang w:eastAsia="en-US"/>
        </w:rPr>
      </w:pPr>
    </w:p>
    <w:p w:rsidR="0082515A" w:rsidRDefault="0082515A" w:rsidP="00503AD7">
      <w:pPr>
        <w:pStyle w:val="Default"/>
        <w:spacing w:line="240" w:lineRule="auto"/>
        <w:jc w:val="center"/>
        <w:rPr>
          <w:b/>
          <w:bCs/>
          <w:iCs/>
          <w:sz w:val="22"/>
          <w:szCs w:val="22"/>
          <w:lang w:eastAsia="en-US"/>
        </w:rPr>
      </w:pPr>
    </w:p>
    <w:p w:rsidR="007A5ECC" w:rsidRPr="000F70A0" w:rsidRDefault="007A5ECC" w:rsidP="00503AD7">
      <w:pPr>
        <w:pStyle w:val="Default"/>
        <w:spacing w:line="240" w:lineRule="auto"/>
        <w:jc w:val="center"/>
        <w:rPr>
          <w:b/>
          <w:bCs/>
          <w:iCs/>
          <w:sz w:val="22"/>
          <w:szCs w:val="22"/>
          <w:lang w:eastAsia="en-US"/>
        </w:rPr>
      </w:pPr>
      <w:r w:rsidRPr="000F70A0">
        <w:rPr>
          <w:b/>
          <w:bCs/>
          <w:iCs/>
          <w:sz w:val="22"/>
          <w:szCs w:val="22"/>
          <w:lang w:eastAsia="en-US"/>
        </w:rPr>
        <w:lastRenderedPageBreak/>
        <w:t xml:space="preserve">TITOLO V – DISPOSIZIONI FINALI E TRANSITORIE </w:t>
      </w:r>
    </w:p>
    <w:p w:rsidR="007A5ECC" w:rsidRDefault="007A5ECC" w:rsidP="00503AD7">
      <w:pPr>
        <w:pStyle w:val="Default"/>
        <w:spacing w:line="240" w:lineRule="auto"/>
        <w:rPr>
          <w:b/>
          <w:bCs/>
          <w:sz w:val="22"/>
          <w:szCs w:val="22"/>
        </w:rPr>
      </w:pPr>
    </w:p>
    <w:p w:rsidR="007A5ECC" w:rsidRPr="0082515A" w:rsidRDefault="007A5ECC" w:rsidP="00503AD7">
      <w:pPr>
        <w:pStyle w:val="Default"/>
        <w:spacing w:line="240" w:lineRule="auto"/>
        <w:rPr>
          <w:b/>
          <w:bCs/>
        </w:rPr>
      </w:pPr>
      <w:r w:rsidRPr="0082515A">
        <w:rPr>
          <w:b/>
          <w:bCs/>
        </w:rPr>
        <w:t>Art. 77 – Entrata in vigore e regime transitorio</w:t>
      </w:r>
    </w:p>
    <w:p w:rsidR="007A5ECC" w:rsidRPr="0082515A" w:rsidRDefault="007A5ECC" w:rsidP="00503AD7">
      <w:pPr>
        <w:pStyle w:val="Default"/>
        <w:spacing w:line="240" w:lineRule="auto"/>
      </w:pPr>
    </w:p>
    <w:p w:rsidR="007A5ECC" w:rsidRPr="0082515A" w:rsidRDefault="007A5ECC" w:rsidP="00503AD7">
      <w:pPr>
        <w:pStyle w:val="Default"/>
        <w:widowControl/>
        <w:numPr>
          <w:ilvl w:val="0"/>
          <w:numId w:val="85"/>
        </w:numPr>
        <w:tabs>
          <w:tab w:val="clear" w:pos="2880"/>
          <w:tab w:val="num" w:pos="360"/>
        </w:tabs>
        <w:spacing w:line="240" w:lineRule="auto"/>
        <w:ind w:left="360"/>
        <w:textAlignment w:val="auto"/>
      </w:pPr>
      <w:r w:rsidRPr="0082515A">
        <w:t>Il presente Regolamento è emanato con Decreto Rettorale, ed entra in vigore a decorrere dalla data ivi prevista.</w:t>
      </w:r>
    </w:p>
    <w:p w:rsidR="007A5ECC" w:rsidRPr="0082515A" w:rsidRDefault="007A5ECC" w:rsidP="00503AD7">
      <w:pPr>
        <w:pStyle w:val="Default"/>
        <w:widowControl/>
        <w:numPr>
          <w:ilvl w:val="0"/>
          <w:numId w:val="85"/>
        </w:numPr>
        <w:tabs>
          <w:tab w:val="clear" w:pos="2880"/>
          <w:tab w:val="num" w:pos="360"/>
        </w:tabs>
        <w:spacing w:line="240" w:lineRule="auto"/>
        <w:ind w:left="360"/>
        <w:textAlignment w:val="auto"/>
      </w:pPr>
      <w:r w:rsidRPr="0082515A">
        <w:t xml:space="preserve">Con l’entrata in vigore di cui al primo comma, è abrogato il previgente Regolamento per l’Amministrazione, la Finanza e la Contabilità del Politecnico di Bari, emanato </w:t>
      </w:r>
      <w:bookmarkStart w:id="17" w:name="_GoBack"/>
      <w:bookmarkEnd w:id="17"/>
      <w:r w:rsidRPr="0082515A">
        <w:t xml:space="preserve">con D.R. n. 554 del 14 novembre 2000 </w:t>
      </w:r>
      <w:proofErr w:type="spellStart"/>
      <w:proofErr w:type="gramStart"/>
      <w:r w:rsidRPr="0082515A">
        <w:t>ss.mm.ii</w:t>
      </w:r>
      <w:proofErr w:type="spellEnd"/>
      <w:r w:rsidRPr="0082515A">
        <w:t>.,</w:t>
      </w:r>
      <w:proofErr w:type="gramEnd"/>
      <w:r w:rsidRPr="0082515A">
        <w:t xml:space="preserve"> salvo per quanto concerne disposizioni ivi contenute, per le quali il presente Regolamento rinvia espressamente ad altri regolamenti ancora da emanarsi.</w:t>
      </w:r>
    </w:p>
    <w:p w:rsidR="007A5ECC" w:rsidRPr="0082515A" w:rsidRDefault="007A5ECC" w:rsidP="00503AD7">
      <w:pPr>
        <w:pStyle w:val="Default"/>
        <w:widowControl/>
        <w:numPr>
          <w:ilvl w:val="0"/>
          <w:numId w:val="85"/>
        </w:numPr>
        <w:tabs>
          <w:tab w:val="clear" w:pos="2880"/>
          <w:tab w:val="num" w:pos="360"/>
        </w:tabs>
        <w:spacing w:line="240" w:lineRule="auto"/>
        <w:ind w:left="360"/>
        <w:textAlignment w:val="auto"/>
      </w:pPr>
      <w:r w:rsidRPr="0082515A">
        <w:t>Le procedure in corso di svolgimento all’entrata in vigore del presente Regolamento continuano ad essere regolate dalle disposizioni vigenti all’atto di avvio delle procedure medesime.</w:t>
      </w:r>
    </w:p>
    <w:p w:rsidR="007A5ECC" w:rsidRPr="0082515A" w:rsidRDefault="007A5ECC" w:rsidP="00503AD7">
      <w:pPr>
        <w:pStyle w:val="Default"/>
        <w:spacing w:line="240" w:lineRule="auto"/>
        <w:rPr>
          <w:b/>
          <w:bCs/>
        </w:rPr>
      </w:pPr>
    </w:p>
    <w:p w:rsidR="007A5ECC" w:rsidRPr="0082515A" w:rsidRDefault="007A5ECC" w:rsidP="00503AD7">
      <w:pPr>
        <w:pStyle w:val="Default"/>
        <w:spacing w:line="240" w:lineRule="auto"/>
        <w:rPr>
          <w:b/>
          <w:bCs/>
        </w:rPr>
      </w:pPr>
      <w:r w:rsidRPr="0082515A">
        <w:rPr>
          <w:b/>
          <w:bCs/>
        </w:rPr>
        <w:t>Art. 78 – Limiti di applicazione</w:t>
      </w:r>
    </w:p>
    <w:p w:rsidR="007A5ECC" w:rsidRPr="0082515A" w:rsidRDefault="007A5ECC" w:rsidP="00503AD7">
      <w:pPr>
        <w:pStyle w:val="Default"/>
        <w:spacing w:line="240" w:lineRule="auto"/>
        <w:rPr>
          <w:b/>
          <w:bCs/>
        </w:rPr>
      </w:pPr>
    </w:p>
    <w:p w:rsidR="007A5ECC" w:rsidRPr="0082515A" w:rsidRDefault="007A5ECC" w:rsidP="00503AD7">
      <w:pPr>
        <w:pStyle w:val="Default"/>
        <w:widowControl/>
        <w:numPr>
          <w:ilvl w:val="0"/>
          <w:numId w:val="86"/>
        </w:numPr>
        <w:tabs>
          <w:tab w:val="clear" w:pos="2880"/>
          <w:tab w:val="num" w:pos="360"/>
        </w:tabs>
        <w:spacing w:line="240" w:lineRule="auto"/>
        <w:ind w:left="360"/>
        <w:textAlignment w:val="auto"/>
      </w:pPr>
      <w:r w:rsidRPr="0082515A">
        <w:t>Per quanto non espressamente previsto dal presente Regolamento, si applicano le normative vigenti, nazionali e comunitarie, che disciplinano le materie oggetto del Regolamento stesso.</w:t>
      </w:r>
    </w:p>
    <w:p w:rsidR="007A5ECC" w:rsidRPr="000F70A0" w:rsidRDefault="007A5ECC" w:rsidP="00503AD7">
      <w:pPr>
        <w:autoSpaceDE w:val="0"/>
        <w:autoSpaceDN w:val="0"/>
        <w:adjustRightInd w:val="0"/>
        <w:jc w:val="center"/>
        <w:rPr>
          <w:b/>
          <w:bCs/>
          <w:color w:val="000000"/>
        </w:rPr>
      </w:pPr>
    </w:p>
    <w:sectPr w:rsidR="007A5ECC" w:rsidRPr="000F70A0" w:rsidSect="009677F3">
      <w:headerReference w:type="default" r:id="rId7"/>
      <w:footerReference w:type="default" r:id="rId8"/>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C3F" w:rsidRDefault="006B2C3F" w:rsidP="009677F3">
      <w:r>
        <w:separator/>
      </w:r>
    </w:p>
  </w:endnote>
  <w:endnote w:type="continuationSeparator" w:id="0">
    <w:p w:rsidR="006B2C3F" w:rsidRDefault="006B2C3F" w:rsidP="0096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115" w:rsidRPr="00B81DDC" w:rsidRDefault="00AF5115">
    <w:pPr>
      <w:pStyle w:val="Pidipagina"/>
      <w:jc w:val="right"/>
      <w:rPr>
        <w:b/>
      </w:rPr>
    </w:pPr>
    <w:r w:rsidRPr="00B81DDC">
      <w:rPr>
        <w:b/>
        <w:sz w:val="20"/>
        <w:szCs w:val="20"/>
      </w:rPr>
      <w:t xml:space="preserve">pag. </w:t>
    </w:r>
    <w:r w:rsidRPr="00B81DDC">
      <w:rPr>
        <w:b/>
        <w:sz w:val="20"/>
        <w:szCs w:val="20"/>
      </w:rPr>
      <w:fldChar w:fldCharType="begin"/>
    </w:r>
    <w:r w:rsidRPr="00B81DDC">
      <w:rPr>
        <w:b/>
        <w:sz w:val="20"/>
        <w:szCs w:val="20"/>
      </w:rPr>
      <w:instrText>PAGE  \* Arabic</w:instrText>
    </w:r>
    <w:r w:rsidRPr="00B81DDC">
      <w:rPr>
        <w:b/>
        <w:sz w:val="20"/>
        <w:szCs w:val="20"/>
      </w:rPr>
      <w:fldChar w:fldCharType="separate"/>
    </w:r>
    <w:r w:rsidR="0082515A">
      <w:rPr>
        <w:b/>
        <w:noProof/>
        <w:sz w:val="20"/>
        <w:szCs w:val="20"/>
      </w:rPr>
      <w:t>22</w:t>
    </w:r>
    <w:r w:rsidRPr="00B81DDC">
      <w:rPr>
        <w:b/>
        <w:sz w:val="20"/>
        <w:szCs w:val="20"/>
      </w:rPr>
      <w:fldChar w:fldCharType="end"/>
    </w:r>
  </w:p>
  <w:p w:rsidR="00AF5115" w:rsidRDefault="00AF511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C3F" w:rsidRDefault="006B2C3F" w:rsidP="009677F3">
      <w:r>
        <w:separator/>
      </w:r>
    </w:p>
  </w:footnote>
  <w:footnote w:type="continuationSeparator" w:id="0">
    <w:p w:rsidR="006B2C3F" w:rsidRDefault="006B2C3F" w:rsidP="00967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01A" w:rsidRDefault="0056001A" w:rsidP="0056001A">
    <w:pPr>
      <w:pStyle w:val="Intestazione"/>
    </w:pPr>
    <w: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Polit" style="width:69.3pt;height:65.2pt;visibility:visible">
          <v:imagedata r:id="rId1" o:title=""/>
        </v:shape>
      </w:pic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73DDB"/>
    <w:multiLevelType w:val="hybridMultilevel"/>
    <w:tmpl w:val="8A24126E"/>
    <w:lvl w:ilvl="0" w:tplc="2468FDC8">
      <w:start w:val="1"/>
      <w:numFmt w:val="decimal"/>
      <w:lvlText w:val="%1."/>
      <w:lvlJc w:val="left"/>
      <w:pPr>
        <w:tabs>
          <w:tab w:val="num" w:pos="1440"/>
        </w:tabs>
        <w:ind w:left="1440"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175697"/>
    <w:multiLevelType w:val="hybridMultilevel"/>
    <w:tmpl w:val="28021E46"/>
    <w:lvl w:ilvl="0" w:tplc="D3644424">
      <w:start w:val="1"/>
      <w:numFmt w:val="decimal"/>
      <w:lvlText w:val="%1."/>
      <w:lvlJc w:val="left"/>
      <w:pPr>
        <w:tabs>
          <w:tab w:val="num" w:pos="2880"/>
        </w:tabs>
        <w:ind w:left="288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133E37"/>
    <w:multiLevelType w:val="hybridMultilevel"/>
    <w:tmpl w:val="D6FAF62A"/>
    <w:lvl w:ilvl="0" w:tplc="F1EC83DC">
      <w:start w:val="1"/>
      <w:numFmt w:val="decimal"/>
      <w:lvlText w:val="%1."/>
      <w:lvlJc w:val="left"/>
      <w:pPr>
        <w:tabs>
          <w:tab w:val="num" w:pos="1440"/>
        </w:tabs>
        <w:ind w:left="1440" w:hanging="360"/>
      </w:pPr>
      <w:rPr>
        <w:rFonts w:cs="Times New Roman" w:hint="default"/>
      </w:rPr>
    </w:lvl>
    <w:lvl w:ilvl="1" w:tplc="04100019">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B74476"/>
    <w:multiLevelType w:val="hybridMultilevel"/>
    <w:tmpl w:val="76BEEBD2"/>
    <w:lvl w:ilvl="0" w:tplc="0ABE5BD8">
      <w:start w:val="4"/>
      <w:numFmt w:val="decimal"/>
      <w:lvlText w:val="%1."/>
      <w:lvlJc w:val="left"/>
      <w:pPr>
        <w:tabs>
          <w:tab w:val="num" w:pos="3133"/>
        </w:tabs>
        <w:ind w:left="3133" w:hanging="1983"/>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FF0DEA"/>
    <w:multiLevelType w:val="hybridMultilevel"/>
    <w:tmpl w:val="DD1402FC"/>
    <w:lvl w:ilvl="0" w:tplc="16541C52">
      <w:start w:val="1"/>
      <w:numFmt w:val="lowerRoman"/>
      <w:lvlText w:val="%1."/>
      <w:lvlJc w:val="left"/>
      <w:pPr>
        <w:tabs>
          <w:tab w:val="num" w:pos="2160"/>
        </w:tabs>
        <w:ind w:left="2160" w:hanging="18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183E1F"/>
    <w:multiLevelType w:val="hybridMultilevel"/>
    <w:tmpl w:val="E25200F4"/>
    <w:lvl w:ilvl="0" w:tplc="F1EC83DC">
      <w:start w:val="1"/>
      <w:numFmt w:val="decimal"/>
      <w:lvlText w:val="%1."/>
      <w:lvlJc w:val="left"/>
      <w:pPr>
        <w:tabs>
          <w:tab w:val="num" w:pos="1440"/>
        </w:tabs>
        <w:ind w:left="1440" w:hanging="360"/>
      </w:pPr>
      <w:rPr>
        <w:rFonts w:cs="Times New Roman" w:hint="default"/>
      </w:rPr>
    </w:lvl>
    <w:lvl w:ilvl="1" w:tplc="04100019">
      <w:start w:val="1"/>
      <w:numFmt w:val="lowerLetter"/>
      <w:lvlText w:val="%2."/>
      <w:lvlJc w:val="left"/>
      <w:pPr>
        <w:ind w:left="1440" w:hanging="360"/>
      </w:pPr>
      <w:rPr>
        <w:rFonts w:cs="Tunga"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7718D6"/>
    <w:multiLevelType w:val="hybridMultilevel"/>
    <w:tmpl w:val="0ADE4D2A"/>
    <w:lvl w:ilvl="0" w:tplc="4B8CB8BE">
      <w:start w:val="1"/>
      <w:numFmt w:val="decimal"/>
      <w:lvlText w:val="%1."/>
      <w:lvlJc w:val="left"/>
      <w:pPr>
        <w:tabs>
          <w:tab w:val="num" w:pos="3133"/>
        </w:tabs>
        <w:ind w:left="3133" w:hanging="1983"/>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600331"/>
    <w:multiLevelType w:val="hybridMultilevel"/>
    <w:tmpl w:val="60947426"/>
    <w:lvl w:ilvl="0" w:tplc="4F70E9C0">
      <w:start w:val="1"/>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1551C9F"/>
    <w:multiLevelType w:val="hybridMultilevel"/>
    <w:tmpl w:val="DEB0872E"/>
    <w:lvl w:ilvl="0" w:tplc="95EC2506">
      <w:start w:val="1"/>
      <w:numFmt w:val="decimal"/>
      <w:lvlText w:val="%1."/>
      <w:lvlJc w:val="left"/>
      <w:pPr>
        <w:tabs>
          <w:tab w:val="num" w:pos="1440"/>
        </w:tabs>
        <w:ind w:left="1440" w:hanging="360"/>
      </w:pPr>
      <w:rPr>
        <w:rFonts w:cs="Times New Roman" w:hint="default"/>
        <w:b w:val="0"/>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F5670C"/>
    <w:multiLevelType w:val="hybridMultilevel"/>
    <w:tmpl w:val="BCE07400"/>
    <w:lvl w:ilvl="0" w:tplc="01849758">
      <w:start w:val="1"/>
      <w:numFmt w:val="lowerLetter"/>
      <w:lvlText w:val="%1."/>
      <w:lvlJc w:val="left"/>
      <w:pPr>
        <w:tabs>
          <w:tab w:val="num" w:pos="2148"/>
        </w:tabs>
        <w:ind w:left="2148" w:hanging="360"/>
      </w:pPr>
      <w:rPr>
        <w:rFonts w:cs="Times New Roman" w:hint="default"/>
        <w:b w:val="0"/>
      </w:rPr>
    </w:lvl>
    <w:lvl w:ilvl="1" w:tplc="04100019">
      <w:start w:val="1"/>
      <w:numFmt w:val="lowerLetter"/>
      <w:lvlText w:val="%2."/>
      <w:lvlJc w:val="left"/>
      <w:pPr>
        <w:tabs>
          <w:tab w:val="num" w:pos="2148"/>
        </w:tabs>
        <w:ind w:left="2148" w:hanging="360"/>
      </w:pPr>
      <w:rPr>
        <w:rFonts w:cs="Times New Roman"/>
      </w:rPr>
    </w:lvl>
    <w:lvl w:ilvl="2" w:tplc="85741894">
      <w:start w:val="1"/>
      <w:numFmt w:val="decimal"/>
      <w:lvlText w:val="%3."/>
      <w:lvlJc w:val="left"/>
      <w:pPr>
        <w:tabs>
          <w:tab w:val="num" w:pos="3048"/>
        </w:tabs>
        <w:ind w:left="3048" w:hanging="360"/>
      </w:pPr>
      <w:rPr>
        <w:rFonts w:cs="Times New Roman" w:hint="default"/>
        <w:b w:val="0"/>
      </w:rPr>
    </w:lvl>
    <w:lvl w:ilvl="3" w:tplc="0410000F">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abstractNum w:abstractNumId="10" w15:restartNumberingAfterBreak="0">
    <w:nsid w:val="14CA3B7E"/>
    <w:multiLevelType w:val="hybridMultilevel"/>
    <w:tmpl w:val="098A5496"/>
    <w:lvl w:ilvl="0" w:tplc="F1EC83DC">
      <w:start w:val="1"/>
      <w:numFmt w:val="decimal"/>
      <w:lvlText w:val="%1."/>
      <w:lvlJc w:val="left"/>
      <w:pPr>
        <w:tabs>
          <w:tab w:val="num" w:pos="1440"/>
        </w:tabs>
        <w:ind w:left="144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50B6C26"/>
    <w:multiLevelType w:val="hybridMultilevel"/>
    <w:tmpl w:val="19C27F72"/>
    <w:lvl w:ilvl="0" w:tplc="3934FE4C">
      <w:start w:val="1"/>
      <w:numFmt w:val="decimal"/>
      <w:lvlText w:val="%1."/>
      <w:lvlJc w:val="left"/>
      <w:pPr>
        <w:tabs>
          <w:tab w:val="num" w:pos="1440"/>
        </w:tabs>
        <w:ind w:left="1440" w:hanging="360"/>
      </w:pPr>
      <w:rPr>
        <w:rFonts w:cs="Times New Roman" w:hint="default"/>
      </w:rPr>
    </w:lvl>
    <w:lvl w:ilvl="1" w:tplc="04100019">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5504D05"/>
    <w:multiLevelType w:val="hybridMultilevel"/>
    <w:tmpl w:val="D3AE45C2"/>
    <w:lvl w:ilvl="0" w:tplc="D69CCE14">
      <w:start w:val="8"/>
      <w:numFmt w:val="decimal"/>
      <w:lvlText w:val="%1."/>
      <w:lvlJc w:val="left"/>
      <w:pPr>
        <w:tabs>
          <w:tab w:val="num" w:pos="2340"/>
        </w:tabs>
        <w:ind w:left="2340" w:hanging="360"/>
      </w:pPr>
      <w:rPr>
        <w:rFonts w:cs="Times New Roman" w:hint="default"/>
      </w:rPr>
    </w:lvl>
    <w:lvl w:ilvl="1" w:tplc="04100019">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6FC6EED"/>
    <w:multiLevelType w:val="hybridMultilevel"/>
    <w:tmpl w:val="323A564C"/>
    <w:lvl w:ilvl="0" w:tplc="01849758">
      <w:start w:val="1"/>
      <w:numFmt w:val="lowerLetter"/>
      <w:lvlText w:val="%1."/>
      <w:lvlJc w:val="left"/>
      <w:pPr>
        <w:tabs>
          <w:tab w:val="num" w:pos="1440"/>
        </w:tabs>
        <w:ind w:left="1440" w:hanging="360"/>
      </w:pPr>
      <w:rPr>
        <w:rFonts w:cs="Times New Roman" w:hint="default"/>
        <w:b w:val="0"/>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2B725A"/>
    <w:multiLevelType w:val="hybridMultilevel"/>
    <w:tmpl w:val="5B8C7DC4"/>
    <w:lvl w:ilvl="0" w:tplc="D3644424">
      <w:start w:val="1"/>
      <w:numFmt w:val="decimal"/>
      <w:lvlText w:val="%1."/>
      <w:lvlJc w:val="left"/>
      <w:pPr>
        <w:tabs>
          <w:tab w:val="num" w:pos="2880"/>
        </w:tabs>
        <w:ind w:left="288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794276"/>
    <w:multiLevelType w:val="hybridMultilevel"/>
    <w:tmpl w:val="C30A127A"/>
    <w:lvl w:ilvl="0" w:tplc="F1EC83DC">
      <w:start w:val="1"/>
      <w:numFmt w:val="decimal"/>
      <w:lvlText w:val="%1."/>
      <w:lvlJc w:val="left"/>
      <w:pPr>
        <w:tabs>
          <w:tab w:val="num" w:pos="1440"/>
        </w:tabs>
        <w:ind w:left="1440" w:hanging="360"/>
      </w:pPr>
      <w:rPr>
        <w:rFonts w:cs="Times New Roman" w:hint="default"/>
      </w:rPr>
    </w:lvl>
    <w:lvl w:ilvl="1" w:tplc="04100019">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88B2F43"/>
    <w:multiLevelType w:val="hybridMultilevel"/>
    <w:tmpl w:val="B5305F92"/>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2A250B4">
      <w:start w:val="1"/>
      <w:numFmt w:val="lowerRoman"/>
      <w:lvlText w:val="%3."/>
      <w:lvlJc w:val="left"/>
      <w:pPr>
        <w:tabs>
          <w:tab w:val="num" w:pos="2160"/>
        </w:tabs>
        <w:ind w:left="2160" w:hanging="180"/>
      </w:pPr>
      <w:rPr>
        <w:rFonts w:cs="Times New Roman" w:hint="default"/>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8900678"/>
    <w:multiLevelType w:val="hybridMultilevel"/>
    <w:tmpl w:val="B066EC60"/>
    <w:lvl w:ilvl="0" w:tplc="D3644424">
      <w:start w:val="1"/>
      <w:numFmt w:val="decimal"/>
      <w:lvlText w:val="%1."/>
      <w:lvlJc w:val="left"/>
      <w:pPr>
        <w:tabs>
          <w:tab w:val="num" w:pos="2880"/>
        </w:tabs>
        <w:ind w:left="288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A0D0EFA"/>
    <w:multiLevelType w:val="hybridMultilevel"/>
    <w:tmpl w:val="6084073A"/>
    <w:lvl w:ilvl="0" w:tplc="3F1EDC24">
      <w:start w:val="1"/>
      <w:numFmt w:val="decimal"/>
      <w:lvlText w:val="%1."/>
      <w:lvlJc w:val="left"/>
      <w:pPr>
        <w:tabs>
          <w:tab w:val="num" w:pos="2340"/>
        </w:tabs>
        <w:ind w:left="23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BE020EE"/>
    <w:multiLevelType w:val="hybridMultilevel"/>
    <w:tmpl w:val="02C0EBCA"/>
    <w:lvl w:ilvl="0" w:tplc="EA2EABC2">
      <w:start w:val="2"/>
      <w:numFmt w:val="lowerLetter"/>
      <w:lvlText w:val="%1."/>
      <w:lvlJc w:val="left"/>
      <w:pPr>
        <w:tabs>
          <w:tab w:val="num" w:pos="1440"/>
        </w:tabs>
        <w:ind w:left="1440" w:hanging="360"/>
      </w:pPr>
      <w:rPr>
        <w:rFonts w:cs="Times New Roman" w:hint="default"/>
        <w:b w:val="0"/>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EB83F41"/>
    <w:multiLevelType w:val="hybridMultilevel"/>
    <w:tmpl w:val="28E68D32"/>
    <w:lvl w:ilvl="0" w:tplc="C792C2EC">
      <w:start w:val="3"/>
      <w:numFmt w:val="lowerLetter"/>
      <w:lvlText w:val="%1."/>
      <w:lvlJc w:val="left"/>
      <w:pPr>
        <w:tabs>
          <w:tab w:val="num" w:pos="1440"/>
        </w:tabs>
        <w:ind w:left="1440" w:hanging="360"/>
      </w:pPr>
      <w:rPr>
        <w:rFonts w:ascii="Times New Roman" w:eastAsia="Times New Roman" w:hAnsi="Times New Roman" w:cs="Times New Roman" w:hint="default"/>
        <w:b w:val="0"/>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ED22654"/>
    <w:multiLevelType w:val="hybridMultilevel"/>
    <w:tmpl w:val="4054580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0773258"/>
    <w:multiLevelType w:val="hybridMultilevel"/>
    <w:tmpl w:val="E8A21EDA"/>
    <w:lvl w:ilvl="0" w:tplc="04100019">
      <w:start w:val="1"/>
      <w:numFmt w:val="lowerLetter"/>
      <w:lvlText w:val="%1."/>
      <w:lvlJc w:val="left"/>
      <w:pPr>
        <w:ind w:left="1510" w:hanging="360"/>
      </w:pPr>
      <w:rPr>
        <w:rFonts w:cs="Times New Roman"/>
      </w:rPr>
    </w:lvl>
    <w:lvl w:ilvl="1" w:tplc="04100019" w:tentative="1">
      <w:start w:val="1"/>
      <w:numFmt w:val="lowerLetter"/>
      <w:lvlText w:val="%2."/>
      <w:lvlJc w:val="left"/>
      <w:pPr>
        <w:ind w:left="2230" w:hanging="360"/>
      </w:pPr>
      <w:rPr>
        <w:rFonts w:cs="Times New Roman"/>
      </w:rPr>
    </w:lvl>
    <w:lvl w:ilvl="2" w:tplc="0410001B" w:tentative="1">
      <w:start w:val="1"/>
      <w:numFmt w:val="lowerRoman"/>
      <w:lvlText w:val="%3."/>
      <w:lvlJc w:val="right"/>
      <w:pPr>
        <w:ind w:left="2950" w:hanging="180"/>
      </w:pPr>
      <w:rPr>
        <w:rFonts w:cs="Times New Roman"/>
      </w:rPr>
    </w:lvl>
    <w:lvl w:ilvl="3" w:tplc="0410000F" w:tentative="1">
      <w:start w:val="1"/>
      <w:numFmt w:val="decimal"/>
      <w:lvlText w:val="%4."/>
      <w:lvlJc w:val="left"/>
      <w:pPr>
        <w:ind w:left="3670" w:hanging="360"/>
      </w:pPr>
      <w:rPr>
        <w:rFonts w:cs="Times New Roman"/>
      </w:rPr>
    </w:lvl>
    <w:lvl w:ilvl="4" w:tplc="04100019" w:tentative="1">
      <w:start w:val="1"/>
      <w:numFmt w:val="lowerLetter"/>
      <w:lvlText w:val="%5."/>
      <w:lvlJc w:val="left"/>
      <w:pPr>
        <w:ind w:left="4390" w:hanging="360"/>
      </w:pPr>
      <w:rPr>
        <w:rFonts w:cs="Times New Roman"/>
      </w:rPr>
    </w:lvl>
    <w:lvl w:ilvl="5" w:tplc="0410001B" w:tentative="1">
      <w:start w:val="1"/>
      <w:numFmt w:val="lowerRoman"/>
      <w:lvlText w:val="%6."/>
      <w:lvlJc w:val="right"/>
      <w:pPr>
        <w:ind w:left="5110" w:hanging="180"/>
      </w:pPr>
      <w:rPr>
        <w:rFonts w:cs="Times New Roman"/>
      </w:rPr>
    </w:lvl>
    <w:lvl w:ilvl="6" w:tplc="0410000F" w:tentative="1">
      <w:start w:val="1"/>
      <w:numFmt w:val="decimal"/>
      <w:lvlText w:val="%7."/>
      <w:lvlJc w:val="left"/>
      <w:pPr>
        <w:ind w:left="5830" w:hanging="360"/>
      </w:pPr>
      <w:rPr>
        <w:rFonts w:cs="Times New Roman"/>
      </w:rPr>
    </w:lvl>
    <w:lvl w:ilvl="7" w:tplc="04100019" w:tentative="1">
      <w:start w:val="1"/>
      <w:numFmt w:val="lowerLetter"/>
      <w:lvlText w:val="%8."/>
      <w:lvlJc w:val="left"/>
      <w:pPr>
        <w:ind w:left="6550" w:hanging="360"/>
      </w:pPr>
      <w:rPr>
        <w:rFonts w:cs="Times New Roman"/>
      </w:rPr>
    </w:lvl>
    <w:lvl w:ilvl="8" w:tplc="0410001B" w:tentative="1">
      <w:start w:val="1"/>
      <w:numFmt w:val="lowerRoman"/>
      <w:lvlText w:val="%9."/>
      <w:lvlJc w:val="right"/>
      <w:pPr>
        <w:ind w:left="7270" w:hanging="180"/>
      </w:pPr>
      <w:rPr>
        <w:rFonts w:cs="Times New Roman"/>
      </w:rPr>
    </w:lvl>
  </w:abstractNum>
  <w:abstractNum w:abstractNumId="23" w15:restartNumberingAfterBreak="0">
    <w:nsid w:val="21B67E98"/>
    <w:multiLevelType w:val="hybridMultilevel"/>
    <w:tmpl w:val="F624470A"/>
    <w:lvl w:ilvl="0" w:tplc="3F1EDC24">
      <w:start w:val="1"/>
      <w:numFmt w:val="decimal"/>
      <w:lvlText w:val="%1."/>
      <w:lvlJc w:val="left"/>
      <w:pPr>
        <w:tabs>
          <w:tab w:val="num" w:pos="2340"/>
        </w:tabs>
        <w:ind w:left="2340" w:hanging="360"/>
      </w:pPr>
      <w:rPr>
        <w:rFonts w:cs="Times New Roman" w:hint="default"/>
      </w:rPr>
    </w:lvl>
    <w:lvl w:ilvl="1" w:tplc="EAC0791A">
      <w:start w:val="1"/>
      <w:numFmt w:val="decimal"/>
      <w:lvlText w:val="%2."/>
      <w:lvlJc w:val="left"/>
      <w:pPr>
        <w:tabs>
          <w:tab w:val="num" w:pos="2340"/>
        </w:tabs>
        <w:ind w:left="2340" w:hanging="360"/>
      </w:pPr>
      <w:rPr>
        <w:rFonts w:cs="Times New Roman" w:hint="default"/>
        <w:b w:val="0"/>
        <w:sz w:val="28"/>
        <w:szCs w:val="28"/>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31A4E2B"/>
    <w:multiLevelType w:val="hybridMultilevel"/>
    <w:tmpl w:val="03FE7E78"/>
    <w:lvl w:ilvl="0" w:tplc="F1EC83DC">
      <w:start w:val="1"/>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3861603"/>
    <w:multiLevelType w:val="hybridMultilevel"/>
    <w:tmpl w:val="517A1214"/>
    <w:lvl w:ilvl="0" w:tplc="3F1EDC24">
      <w:start w:val="1"/>
      <w:numFmt w:val="decimal"/>
      <w:lvlText w:val="%1."/>
      <w:lvlJc w:val="left"/>
      <w:pPr>
        <w:tabs>
          <w:tab w:val="num" w:pos="2340"/>
        </w:tabs>
        <w:ind w:left="23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4CF44F8"/>
    <w:multiLevelType w:val="hybridMultilevel"/>
    <w:tmpl w:val="D040A44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26B5276C"/>
    <w:multiLevelType w:val="hybridMultilevel"/>
    <w:tmpl w:val="08F4DB14"/>
    <w:lvl w:ilvl="0" w:tplc="5E42A522">
      <w:start w:val="2"/>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7686FF7"/>
    <w:multiLevelType w:val="hybridMultilevel"/>
    <w:tmpl w:val="E96A1288"/>
    <w:lvl w:ilvl="0" w:tplc="F1EC83DC">
      <w:start w:val="1"/>
      <w:numFmt w:val="decimal"/>
      <w:lvlText w:val="%1."/>
      <w:lvlJc w:val="left"/>
      <w:pPr>
        <w:tabs>
          <w:tab w:val="num" w:pos="1440"/>
        </w:tabs>
        <w:ind w:left="1440" w:hanging="360"/>
      </w:pPr>
      <w:rPr>
        <w:rFonts w:cs="Times New Roman" w:hint="default"/>
      </w:rPr>
    </w:lvl>
    <w:lvl w:ilvl="1" w:tplc="04100019">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7D37F18"/>
    <w:multiLevelType w:val="hybridMultilevel"/>
    <w:tmpl w:val="2EAE1CBA"/>
    <w:lvl w:ilvl="0" w:tplc="3F1EDC24">
      <w:start w:val="1"/>
      <w:numFmt w:val="decimal"/>
      <w:lvlText w:val="%1."/>
      <w:lvlJc w:val="left"/>
      <w:pPr>
        <w:tabs>
          <w:tab w:val="num" w:pos="2340"/>
        </w:tabs>
        <w:ind w:left="23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92530E4"/>
    <w:multiLevelType w:val="hybridMultilevel"/>
    <w:tmpl w:val="498E5C64"/>
    <w:lvl w:ilvl="0" w:tplc="C6F88D4E">
      <w:start w:val="1"/>
      <w:numFmt w:val="decimal"/>
      <w:lvlText w:val="%1."/>
      <w:lvlJc w:val="left"/>
      <w:pPr>
        <w:tabs>
          <w:tab w:val="num" w:pos="2340"/>
        </w:tabs>
        <w:ind w:left="2340"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9431EFD"/>
    <w:multiLevelType w:val="hybridMultilevel"/>
    <w:tmpl w:val="0EC85AA8"/>
    <w:lvl w:ilvl="0" w:tplc="D3644424">
      <w:start w:val="1"/>
      <w:numFmt w:val="decimal"/>
      <w:lvlText w:val="%1."/>
      <w:lvlJc w:val="left"/>
      <w:pPr>
        <w:tabs>
          <w:tab w:val="num" w:pos="2880"/>
        </w:tabs>
        <w:ind w:left="288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B2B5435"/>
    <w:multiLevelType w:val="hybridMultilevel"/>
    <w:tmpl w:val="E1F40DDE"/>
    <w:lvl w:ilvl="0" w:tplc="C0C01562">
      <w:start w:val="2"/>
      <w:numFmt w:val="decimal"/>
      <w:lvlText w:val="%1."/>
      <w:lvlJc w:val="left"/>
      <w:pPr>
        <w:tabs>
          <w:tab w:val="num" w:pos="1440"/>
        </w:tabs>
        <w:ind w:left="1440" w:hanging="360"/>
      </w:pPr>
      <w:rPr>
        <w:rFonts w:cs="Times New Roman" w:hint="default"/>
        <w:b w:val="0"/>
      </w:rPr>
    </w:lvl>
    <w:lvl w:ilvl="1" w:tplc="04100019">
      <w:start w:val="1"/>
      <w:numFmt w:val="lowerLetter"/>
      <w:lvlText w:val="%2."/>
      <w:lvlJc w:val="left"/>
      <w:pPr>
        <w:tabs>
          <w:tab w:val="num" w:pos="1440"/>
        </w:tabs>
        <w:ind w:left="1440" w:hanging="360"/>
      </w:pPr>
      <w:rPr>
        <w:rFonts w:cs="Times New Roman" w:hint="default"/>
        <w:b w:val="0"/>
      </w:rPr>
    </w:lvl>
    <w:lvl w:ilvl="2" w:tplc="C152EC2E">
      <w:start w:val="3"/>
      <w:numFmt w:val="decimal"/>
      <w:lvlText w:val="%3."/>
      <w:lvlJc w:val="left"/>
      <w:pPr>
        <w:tabs>
          <w:tab w:val="num" w:pos="1440"/>
        </w:tabs>
        <w:ind w:left="1440" w:hanging="360"/>
      </w:pPr>
      <w:rPr>
        <w:rFonts w:cs="Times New Roman" w:hint="default"/>
        <w:b w:val="0"/>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C1F567A"/>
    <w:multiLevelType w:val="hybridMultilevel"/>
    <w:tmpl w:val="6846B3A0"/>
    <w:lvl w:ilvl="0" w:tplc="80B87DD0">
      <w:start w:val="1"/>
      <w:numFmt w:val="decimal"/>
      <w:lvlText w:val="%1."/>
      <w:lvlJc w:val="left"/>
      <w:pPr>
        <w:tabs>
          <w:tab w:val="num" w:pos="1440"/>
        </w:tabs>
        <w:ind w:left="1440" w:hanging="360"/>
      </w:pPr>
      <w:rPr>
        <w:rFonts w:ascii="Times New Roman" w:hAnsi="Times New Roman" w:cs="Times New Roman" w:hint="default"/>
        <w:b w:val="0"/>
        <w:sz w:val="28"/>
        <w:szCs w:val="28"/>
      </w:rPr>
    </w:lvl>
    <w:lvl w:ilvl="1" w:tplc="896A3358">
      <w:start w:val="1"/>
      <w:numFmt w:val="lowerLetter"/>
      <w:lvlText w:val="%2."/>
      <w:lvlJc w:val="left"/>
      <w:pPr>
        <w:tabs>
          <w:tab w:val="num" w:pos="1440"/>
        </w:tabs>
        <w:ind w:left="1440" w:hanging="360"/>
      </w:pPr>
      <w:rPr>
        <w:rFonts w:ascii="Times New Roman" w:hAnsi="Times New Roman" w:cs="Times New Roman" w:hint="default"/>
        <w:b w:val="0"/>
        <w:sz w:val="24"/>
        <w:szCs w:val="24"/>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F23155A"/>
    <w:multiLevelType w:val="hybridMultilevel"/>
    <w:tmpl w:val="BA84DD0E"/>
    <w:lvl w:ilvl="0" w:tplc="F1EC83DC">
      <w:start w:val="1"/>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F290760"/>
    <w:multiLevelType w:val="hybridMultilevel"/>
    <w:tmpl w:val="C2863E0C"/>
    <w:lvl w:ilvl="0" w:tplc="D3644424">
      <w:start w:val="1"/>
      <w:numFmt w:val="decimal"/>
      <w:lvlText w:val="%1."/>
      <w:lvlJc w:val="left"/>
      <w:pPr>
        <w:tabs>
          <w:tab w:val="num" w:pos="2880"/>
        </w:tabs>
        <w:ind w:left="288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FD250BE"/>
    <w:multiLevelType w:val="hybridMultilevel"/>
    <w:tmpl w:val="A836CFD8"/>
    <w:lvl w:ilvl="0" w:tplc="0DD042DA">
      <w:start w:val="2"/>
      <w:numFmt w:val="decimal"/>
      <w:lvlText w:val="%1."/>
      <w:lvlJc w:val="left"/>
      <w:pPr>
        <w:tabs>
          <w:tab w:val="num" w:pos="1440"/>
        </w:tabs>
        <w:ind w:left="1440" w:hanging="360"/>
      </w:pPr>
      <w:rPr>
        <w:rFonts w:cs="Times New Roman" w:hint="default"/>
        <w:b w:val="0"/>
        <w:sz w:val="28"/>
        <w:szCs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11D685C"/>
    <w:multiLevelType w:val="hybridMultilevel"/>
    <w:tmpl w:val="D31A119A"/>
    <w:lvl w:ilvl="0" w:tplc="C8D8AD28">
      <w:start w:val="2"/>
      <w:numFmt w:val="decimal"/>
      <w:lvlText w:val="%1."/>
      <w:lvlJc w:val="left"/>
      <w:pPr>
        <w:tabs>
          <w:tab w:val="num" w:pos="1440"/>
        </w:tabs>
        <w:ind w:left="1440"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2BC24C9"/>
    <w:multiLevelType w:val="hybridMultilevel"/>
    <w:tmpl w:val="EAB0233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376B449B"/>
    <w:multiLevelType w:val="hybridMultilevel"/>
    <w:tmpl w:val="3D5C7374"/>
    <w:lvl w:ilvl="0" w:tplc="D3644424">
      <w:start w:val="1"/>
      <w:numFmt w:val="decimal"/>
      <w:lvlText w:val="%1."/>
      <w:lvlJc w:val="left"/>
      <w:pPr>
        <w:tabs>
          <w:tab w:val="num" w:pos="2880"/>
        </w:tabs>
        <w:ind w:left="288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380E2300"/>
    <w:multiLevelType w:val="hybridMultilevel"/>
    <w:tmpl w:val="4A08905A"/>
    <w:lvl w:ilvl="0" w:tplc="A4BC7124">
      <w:start w:val="1"/>
      <w:numFmt w:val="decimal"/>
      <w:lvlText w:val="%1."/>
      <w:lvlJc w:val="left"/>
      <w:pPr>
        <w:ind w:left="720" w:hanging="360"/>
      </w:pPr>
      <w:rPr>
        <w:rFonts w:ascii="Times New Roman" w:eastAsia="Times New Roman" w:hAnsi="Times New Roman"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394B2E22"/>
    <w:multiLevelType w:val="hybridMultilevel"/>
    <w:tmpl w:val="31AAB15A"/>
    <w:lvl w:ilvl="0" w:tplc="A744795A">
      <w:start w:val="2"/>
      <w:numFmt w:val="decimal"/>
      <w:lvlText w:val="%1."/>
      <w:lvlJc w:val="left"/>
      <w:pPr>
        <w:tabs>
          <w:tab w:val="num" w:pos="2883"/>
        </w:tabs>
        <w:ind w:left="2883" w:hanging="1983"/>
      </w:pPr>
      <w:rPr>
        <w:rFonts w:cs="Times New Roman" w:hint="default"/>
      </w:rPr>
    </w:lvl>
    <w:lvl w:ilvl="1" w:tplc="04100019">
      <w:start w:val="1"/>
      <w:numFmt w:val="lowerLetter"/>
      <w:lvlText w:val="%2."/>
      <w:lvlJc w:val="left"/>
      <w:pPr>
        <w:ind w:left="1440" w:hanging="360"/>
      </w:pPr>
      <w:rPr>
        <w:rFonts w:cs="Tunga" w:hint="default"/>
      </w:rPr>
    </w:lvl>
    <w:lvl w:ilvl="2" w:tplc="0410001B">
      <w:start w:val="1"/>
      <w:numFmt w:val="lowerRoman"/>
      <w:lvlText w:val="%3."/>
      <w:lvlJc w:val="right"/>
      <w:pPr>
        <w:tabs>
          <w:tab w:val="num" w:pos="2160"/>
        </w:tabs>
        <w:ind w:left="2160" w:hanging="180"/>
      </w:pPr>
      <w:rPr>
        <w:rFonts w:cs="Times New Roman" w:hint="default"/>
      </w:rPr>
    </w:lvl>
    <w:lvl w:ilvl="3" w:tplc="69D0CE58">
      <w:start w:val="2"/>
      <w:numFmt w:val="lowerLetter"/>
      <w:lvlText w:val="%4."/>
      <w:lvlJc w:val="left"/>
      <w:pPr>
        <w:tabs>
          <w:tab w:val="num" w:pos="2880"/>
        </w:tabs>
        <w:ind w:left="2880" w:hanging="360"/>
      </w:pPr>
      <w:rPr>
        <w:rFonts w:cs="Times New Roman" w:hint="default"/>
      </w:rPr>
    </w:lvl>
    <w:lvl w:ilvl="4" w:tplc="DA08F456">
      <w:start w:val="1"/>
      <w:numFmt w:val="lowerRoman"/>
      <w:lvlText w:val="%5."/>
      <w:lvlJc w:val="left"/>
      <w:pPr>
        <w:tabs>
          <w:tab w:val="num" w:pos="1440"/>
        </w:tabs>
        <w:ind w:left="1440" w:hanging="360"/>
      </w:pPr>
      <w:rPr>
        <w:rFonts w:cs="Times New Roman" w:hint="default"/>
      </w:rPr>
    </w:lvl>
    <w:lvl w:ilvl="5" w:tplc="F5902E32">
      <w:start w:val="3"/>
      <w:numFmt w:val="lowerLetter"/>
      <w:lvlText w:val="%6."/>
      <w:lvlJc w:val="left"/>
      <w:pPr>
        <w:tabs>
          <w:tab w:val="num" w:pos="2880"/>
        </w:tabs>
        <w:ind w:left="2880" w:hanging="360"/>
      </w:pPr>
      <w:rPr>
        <w:rFonts w:cs="Times New Roman" w:hint="default"/>
      </w:rPr>
    </w:lvl>
    <w:lvl w:ilvl="6" w:tplc="DA08F456">
      <w:start w:val="1"/>
      <w:numFmt w:val="lowerRoman"/>
      <w:lvlText w:val="%7."/>
      <w:lvlJc w:val="left"/>
      <w:pPr>
        <w:tabs>
          <w:tab w:val="num" w:pos="1440"/>
        </w:tabs>
        <w:ind w:left="1440" w:hanging="360"/>
      </w:pPr>
      <w:rPr>
        <w:rFonts w:cs="Times New Roman" w:hint="default"/>
      </w:rPr>
    </w:lvl>
    <w:lvl w:ilvl="7" w:tplc="136EB2F4">
      <w:start w:val="4"/>
      <w:numFmt w:val="lowerLetter"/>
      <w:lvlText w:val="%8."/>
      <w:lvlJc w:val="left"/>
      <w:pPr>
        <w:tabs>
          <w:tab w:val="num" w:pos="1440"/>
        </w:tabs>
        <w:ind w:left="1440" w:hanging="360"/>
      </w:pPr>
      <w:rPr>
        <w:rFonts w:cs="Times New Roman" w:hint="default"/>
      </w:rPr>
    </w:lvl>
    <w:lvl w:ilvl="8" w:tplc="3BCC57DC">
      <w:start w:val="1"/>
      <w:numFmt w:val="lowerRoman"/>
      <w:lvlText w:val="%9."/>
      <w:lvlJc w:val="left"/>
      <w:pPr>
        <w:tabs>
          <w:tab w:val="num" w:pos="6480"/>
        </w:tabs>
        <w:ind w:left="6480" w:hanging="180"/>
      </w:pPr>
      <w:rPr>
        <w:rFonts w:cs="Times New Roman" w:hint="default"/>
        <w:b w:val="0"/>
      </w:rPr>
    </w:lvl>
  </w:abstractNum>
  <w:abstractNum w:abstractNumId="42" w15:restartNumberingAfterBreak="0">
    <w:nsid w:val="395A6295"/>
    <w:multiLevelType w:val="hybridMultilevel"/>
    <w:tmpl w:val="CBCE4C78"/>
    <w:lvl w:ilvl="0" w:tplc="F1EC83DC">
      <w:start w:val="1"/>
      <w:numFmt w:val="decimal"/>
      <w:lvlText w:val="%1."/>
      <w:lvlJc w:val="left"/>
      <w:pPr>
        <w:tabs>
          <w:tab w:val="num" w:pos="1440"/>
        </w:tabs>
        <w:ind w:left="1440" w:hanging="360"/>
      </w:pPr>
      <w:rPr>
        <w:rFonts w:cs="Times New Roman" w:hint="default"/>
      </w:rPr>
    </w:lvl>
    <w:lvl w:ilvl="1" w:tplc="04100019">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96C1A83"/>
    <w:multiLevelType w:val="hybridMultilevel"/>
    <w:tmpl w:val="83804D5C"/>
    <w:lvl w:ilvl="0" w:tplc="2468FDC8">
      <w:start w:val="1"/>
      <w:numFmt w:val="decimal"/>
      <w:lvlText w:val="%1."/>
      <w:lvlJc w:val="left"/>
      <w:pPr>
        <w:tabs>
          <w:tab w:val="num" w:pos="1440"/>
        </w:tabs>
        <w:ind w:left="1440"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98A1109"/>
    <w:multiLevelType w:val="hybridMultilevel"/>
    <w:tmpl w:val="88EEA8B4"/>
    <w:lvl w:ilvl="0" w:tplc="01DA8854">
      <w:start w:val="1"/>
      <w:numFmt w:val="decimal"/>
      <w:lvlText w:val="%1."/>
      <w:lvlJc w:val="left"/>
      <w:pPr>
        <w:tabs>
          <w:tab w:val="num" w:pos="1440"/>
        </w:tabs>
        <w:ind w:left="1440"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BE049C5"/>
    <w:multiLevelType w:val="hybridMultilevel"/>
    <w:tmpl w:val="FA2871E4"/>
    <w:lvl w:ilvl="0" w:tplc="D3644424">
      <w:start w:val="1"/>
      <w:numFmt w:val="decimal"/>
      <w:lvlText w:val="%1."/>
      <w:lvlJc w:val="left"/>
      <w:pPr>
        <w:tabs>
          <w:tab w:val="num" w:pos="2880"/>
        </w:tabs>
        <w:ind w:left="2880" w:hanging="360"/>
      </w:pPr>
      <w:rPr>
        <w:rFonts w:ascii="Times New Roman" w:hAnsi="Times New Roman" w:cs="Times New Roman" w:hint="default"/>
      </w:rPr>
    </w:lvl>
    <w:lvl w:ilvl="1" w:tplc="04100019" w:tentative="1">
      <w:start w:val="1"/>
      <w:numFmt w:val="lowerLetter"/>
      <w:lvlText w:val="%2."/>
      <w:lvlJc w:val="left"/>
      <w:pPr>
        <w:tabs>
          <w:tab w:val="num" w:pos="3600"/>
        </w:tabs>
        <w:ind w:left="3600" w:hanging="360"/>
      </w:pPr>
      <w:rPr>
        <w:rFonts w:cs="Times New Roman"/>
      </w:rPr>
    </w:lvl>
    <w:lvl w:ilvl="2" w:tplc="0410001B" w:tentative="1">
      <w:start w:val="1"/>
      <w:numFmt w:val="lowerRoman"/>
      <w:lvlText w:val="%3."/>
      <w:lvlJc w:val="right"/>
      <w:pPr>
        <w:tabs>
          <w:tab w:val="num" w:pos="4320"/>
        </w:tabs>
        <w:ind w:left="4320" w:hanging="180"/>
      </w:pPr>
      <w:rPr>
        <w:rFonts w:cs="Times New Roman"/>
      </w:rPr>
    </w:lvl>
    <w:lvl w:ilvl="3" w:tplc="0410000F" w:tentative="1">
      <w:start w:val="1"/>
      <w:numFmt w:val="decimal"/>
      <w:lvlText w:val="%4."/>
      <w:lvlJc w:val="left"/>
      <w:pPr>
        <w:tabs>
          <w:tab w:val="num" w:pos="5040"/>
        </w:tabs>
        <w:ind w:left="5040" w:hanging="360"/>
      </w:pPr>
      <w:rPr>
        <w:rFonts w:cs="Times New Roman"/>
      </w:rPr>
    </w:lvl>
    <w:lvl w:ilvl="4" w:tplc="04100019" w:tentative="1">
      <w:start w:val="1"/>
      <w:numFmt w:val="lowerLetter"/>
      <w:lvlText w:val="%5."/>
      <w:lvlJc w:val="left"/>
      <w:pPr>
        <w:tabs>
          <w:tab w:val="num" w:pos="5760"/>
        </w:tabs>
        <w:ind w:left="5760" w:hanging="360"/>
      </w:pPr>
      <w:rPr>
        <w:rFonts w:cs="Times New Roman"/>
      </w:rPr>
    </w:lvl>
    <w:lvl w:ilvl="5" w:tplc="0410001B" w:tentative="1">
      <w:start w:val="1"/>
      <w:numFmt w:val="lowerRoman"/>
      <w:lvlText w:val="%6."/>
      <w:lvlJc w:val="right"/>
      <w:pPr>
        <w:tabs>
          <w:tab w:val="num" w:pos="6480"/>
        </w:tabs>
        <w:ind w:left="6480" w:hanging="180"/>
      </w:pPr>
      <w:rPr>
        <w:rFonts w:cs="Times New Roman"/>
      </w:rPr>
    </w:lvl>
    <w:lvl w:ilvl="6" w:tplc="0410000F" w:tentative="1">
      <w:start w:val="1"/>
      <w:numFmt w:val="decimal"/>
      <w:lvlText w:val="%7."/>
      <w:lvlJc w:val="left"/>
      <w:pPr>
        <w:tabs>
          <w:tab w:val="num" w:pos="7200"/>
        </w:tabs>
        <w:ind w:left="7200" w:hanging="360"/>
      </w:pPr>
      <w:rPr>
        <w:rFonts w:cs="Times New Roman"/>
      </w:rPr>
    </w:lvl>
    <w:lvl w:ilvl="7" w:tplc="04100019" w:tentative="1">
      <w:start w:val="1"/>
      <w:numFmt w:val="lowerLetter"/>
      <w:lvlText w:val="%8."/>
      <w:lvlJc w:val="left"/>
      <w:pPr>
        <w:tabs>
          <w:tab w:val="num" w:pos="7920"/>
        </w:tabs>
        <w:ind w:left="7920" w:hanging="360"/>
      </w:pPr>
      <w:rPr>
        <w:rFonts w:cs="Times New Roman"/>
      </w:rPr>
    </w:lvl>
    <w:lvl w:ilvl="8" w:tplc="0410001B" w:tentative="1">
      <w:start w:val="1"/>
      <w:numFmt w:val="lowerRoman"/>
      <w:lvlText w:val="%9."/>
      <w:lvlJc w:val="right"/>
      <w:pPr>
        <w:tabs>
          <w:tab w:val="num" w:pos="8640"/>
        </w:tabs>
        <w:ind w:left="8640" w:hanging="180"/>
      </w:pPr>
      <w:rPr>
        <w:rFonts w:cs="Times New Roman"/>
      </w:rPr>
    </w:lvl>
  </w:abstractNum>
  <w:abstractNum w:abstractNumId="46" w15:restartNumberingAfterBreak="0">
    <w:nsid w:val="3E0F0CAF"/>
    <w:multiLevelType w:val="hybridMultilevel"/>
    <w:tmpl w:val="78C22B72"/>
    <w:lvl w:ilvl="0" w:tplc="4B8CB8BE">
      <w:start w:val="1"/>
      <w:numFmt w:val="decimal"/>
      <w:lvlText w:val="%1."/>
      <w:lvlJc w:val="left"/>
      <w:pPr>
        <w:tabs>
          <w:tab w:val="num" w:pos="3133"/>
        </w:tabs>
        <w:ind w:left="3133" w:hanging="1983"/>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E4B78F9"/>
    <w:multiLevelType w:val="hybridMultilevel"/>
    <w:tmpl w:val="D4762908"/>
    <w:lvl w:ilvl="0" w:tplc="01849758">
      <w:start w:val="1"/>
      <w:numFmt w:val="lowerLetter"/>
      <w:lvlText w:val="%1."/>
      <w:lvlJc w:val="left"/>
      <w:pPr>
        <w:tabs>
          <w:tab w:val="num" w:pos="1440"/>
        </w:tabs>
        <w:ind w:left="1440"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3F892147"/>
    <w:multiLevelType w:val="hybridMultilevel"/>
    <w:tmpl w:val="AABEC312"/>
    <w:lvl w:ilvl="0" w:tplc="9CE44088">
      <w:start w:val="1"/>
      <w:numFmt w:val="decimal"/>
      <w:lvlText w:val="%1."/>
      <w:lvlJc w:val="left"/>
      <w:pPr>
        <w:tabs>
          <w:tab w:val="num" w:pos="1440"/>
        </w:tabs>
        <w:ind w:left="144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4B761D0"/>
    <w:multiLevelType w:val="hybridMultilevel"/>
    <w:tmpl w:val="8F3A4002"/>
    <w:lvl w:ilvl="0" w:tplc="5E0C7556">
      <w:start w:val="1"/>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6310FEA"/>
    <w:multiLevelType w:val="hybridMultilevel"/>
    <w:tmpl w:val="7A26AAB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7554C2F"/>
    <w:multiLevelType w:val="hybridMultilevel"/>
    <w:tmpl w:val="ED5EE2CC"/>
    <w:lvl w:ilvl="0" w:tplc="85741894">
      <w:start w:val="1"/>
      <w:numFmt w:val="decimal"/>
      <w:lvlText w:val="%1."/>
      <w:lvlJc w:val="left"/>
      <w:pPr>
        <w:tabs>
          <w:tab w:val="num" w:pos="3048"/>
        </w:tabs>
        <w:ind w:left="3048" w:hanging="360"/>
      </w:pPr>
      <w:rPr>
        <w:rFonts w:cs="Times New Roman" w:hint="default"/>
        <w:b w:val="0"/>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7902C39"/>
    <w:multiLevelType w:val="hybridMultilevel"/>
    <w:tmpl w:val="BD8078A0"/>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79D22D3"/>
    <w:multiLevelType w:val="hybridMultilevel"/>
    <w:tmpl w:val="47E4517C"/>
    <w:lvl w:ilvl="0" w:tplc="F1EC83DC">
      <w:start w:val="1"/>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48FB12E0"/>
    <w:multiLevelType w:val="hybridMultilevel"/>
    <w:tmpl w:val="AC0E18E2"/>
    <w:lvl w:ilvl="0" w:tplc="D3644424">
      <w:start w:val="1"/>
      <w:numFmt w:val="decimal"/>
      <w:lvlText w:val="%1."/>
      <w:lvlJc w:val="left"/>
      <w:pPr>
        <w:tabs>
          <w:tab w:val="num" w:pos="2880"/>
        </w:tabs>
        <w:ind w:left="288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49062E0F"/>
    <w:multiLevelType w:val="hybridMultilevel"/>
    <w:tmpl w:val="463830E6"/>
    <w:lvl w:ilvl="0" w:tplc="3F1EDC24">
      <w:start w:val="1"/>
      <w:numFmt w:val="decimal"/>
      <w:lvlText w:val="%1."/>
      <w:lvlJc w:val="left"/>
      <w:pPr>
        <w:tabs>
          <w:tab w:val="num" w:pos="2340"/>
        </w:tabs>
        <w:ind w:left="23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9311911"/>
    <w:multiLevelType w:val="hybridMultilevel"/>
    <w:tmpl w:val="C642493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A403657"/>
    <w:multiLevelType w:val="hybridMultilevel"/>
    <w:tmpl w:val="CC1843FA"/>
    <w:lvl w:ilvl="0" w:tplc="85741894">
      <w:start w:val="1"/>
      <w:numFmt w:val="decimal"/>
      <w:lvlText w:val="%1."/>
      <w:lvlJc w:val="left"/>
      <w:pPr>
        <w:tabs>
          <w:tab w:val="num" w:pos="3048"/>
        </w:tabs>
        <w:ind w:left="3048" w:hanging="360"/>
      </w:pPr>
      <w:rPr>
        <w:rFonts w:cs="Times New Roman" w:hint="default"/>
        <w:b w:val="0"/>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B943CCF"/>
    <w:multiLevelType w:val="hybridMultilevel"/>
    <w:tmpl w:val="15B4FE74"/>
    <w:lvl w:ilvl="0" w:tplc="0410000F">
      <w:start w:val="1"/>
      <w:numFmt w:val="decimal"/>
      <w:lvlText w:val="%1."/>
      <w:lvlJc w:val="left"/>
      <w:pPr>
        <w:tabs>
          <w:tab w:val="num" w:pos="2880"/>
        </w:tabs>
        <w:ind w:left="2880" w:hanging="360"/>
      </w:pPr>
      <w:rPr>
        <w:rFonts w:cs="Times New Roman"/>
      </w:rPr>
    </w:lvl>
    <w:lvl w:ilvl="1" w:tplc="04100019" w:tentative="1">
      <w:start w:val="1"/>
      <w:numFmt w:val="lowerLetter"/>
      <w:lvlText w:val="%2."/>
      <w:lvlJc w:val="left"/>
      <w:pPr>
        <w:ind w:left="3600" w:hanging="360"/>
      </w:pPr>
      <w:rPr>
        <w:rFonts w:cs="Times New Roman"/>
      </w:rPr>
    </w:lvl>
    <w:lvl w:ilvl="2" w:tplc="0410001B" w:tentative="1">
      <w:start w:val="1"/>
      <w:numFmt w:val="lowerRoman"/>
      <w:lvlText w:val="%3."/>
      <w:lvlJc w:val="right"/>
      <w:pPr>
        <w:ind w:left="4320" w:hanging="180"/>
      </w:pPr>
      <w:rPr>
        <w:rFonts w:cs="Times New Roman"/>
      </w:rPr>
    </w:lvl>
    <w:lvl w:ilvl="3" w:tplc="0410000F" w:tentative="1">
      <w:start w:val="1"/>
      <w:numFmt w:val="decimal"/>
      <w:lvlText w:val="%4."/>
      <w:lvlJc w:val="left"/>
      <w:pPr>
        <w:ind w:left="5040" w:hanging="360"/>
      </w:pPr>
      <w:rPr>
        <w:rFonts w:cs="Times New Roman"/>
      </w:rPr>
    </w:lvl>
    <w:lvl w:ilvl="4" w:tplc="04100019" w:tentative="1">
      <w:start w:val="1"/>
      <w:numFmt w:val="lowerLetter"/>
      <w:lvlText w:val="%5."/>
      <w:lvlJc w:val="left"/>
      <w:pPr>
        <w:ind w:left="5760" w:hanging="360"/>
      </w:pPr>
      <w:rPr>
        <w:rFonts w:cs="Times New Roman"/>
      </w:rPr>
    </w:lvl>
    <w:lvl w:ilvl="5" w:tplc="0410001B" w:tentative="1">
      <w:start w:val="1"/>
      <w:numFmt w:val="lowerRoman"/>
      <w:lvlText w:val="%6."/>
      <w:lvlJc w:val="right"/>
      <w:pPr>
        <w:ind w:left="6480" w:hanging="180"/>
      </w:pPr>
      <w:rPr>
        <w:rFonts w:cs="Times New Roman"/>
      </w:rPr>
    </w:lvl>
    <w:lvl w:ilvl="6" w:tplc="0410000F" w:tentative="1">
      <w:start w:val="1"/>
      <w:numFmt w:val="decimal"/>
      <w:lvlText w:val="%7."/>
      <w:lvlJc w:val="left"/>
      <w:pPr>
        <w:ind w:left="7200" w:hanging="360"/>
      </w:pPr>
      <w:rPr>
        <w:rFonts w:cs="Times New Roman"/>
      </w:rPr>
    </w:lvl>
    <w:lvl w:ilvl="7" w:tplc="04100019" w:tentative="1">
      <w:start w:val="1"/>
      <w:numFmt w:val="lowerLetter"/>
      <w:lvlText w:val="%8."/>
      <w:lvlJc w:val="left"/>
      <w:pPr>
        <w:ind w:left="7920" w:hanging="360"/>
      </w:pPr>
      <w:rPr>
        <w:rFonts w:cs="Times New Roman"/>
      </w:rPr>
    </w:lvl>
    <w:lvl w:ilvl="8" w:tplc="0410001B" w:tentative="1">
      <w:start w:val="1"/>
      <w:numFmt w:val="lowerRoman"/>
      <w:lvlText w:val="%9."/>
      <w:lvlJc w:val="right"/>
      <w:pPr>
        <w:ind w:left="8640" w:hanging="180"/>
      </w:pPr>
      <w:rPr>
        <w:rFonts w:cs="Times New Roman"/>
      </w:rPr>
    </w:lvl>
  </w:abstractNum>
  <w:abstractNum w:abstractNumId="59" w15:restartNumberingAfterBreak="0">
    <w:nsid w:val="4C436289"/>
    <w:multiLevelType w:val="hybridMultilevel"/>
    <w:tmpl w:val="F1CA8270"/>
    <w:lvl w:ilvl="0" w:tplc="D3644424">
      <w:start w:val="1"/>
      <w:numFmt w:val="decimal"/>
      <w:lvlText w:val="%1."/>
      <w:lvlJc w:val="left"/>
      <w:pPr>
        <w:tabs>
          <w:tab w:val="num" w:pos="2880"/>
        </w:tabs>
        <w:ind w:left="288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C9400F8"/>
    <w:multiLevelType w:val="hybridMultilevel"/>
    <w:tmpl w:val="97D65298"/>
    <w:lvl w:ilvl="0" w:tplc="4B8CB8BE">
      <w:start w:val="1"/>
      <w:numFmt w:val="decimal"/>
      <w:lvlText w:val="%1."/>
      <w:lvlJc w:val="left"/>
      <w:pPr>
        <w:tabs>
          <w:tab w:val="num" w:pos="3133"/>
        </w:tabs>
        <w:ind w:left="3133" w:hanging="1983"/>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DB56494"/>
    <w:multiLevelType w:val="hybridMultilevel"/>
    <w:tmpl w:val="A2E6C844"/>
    <w:lvl w:ilvl="0" w:tplc="5E0C7556">
      <w:start w:val="1"/>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4EF30F56"/>
    <w:multiLevelType w:val="hybridMultilevel"/>
    <w:tmpl w:val="F3B4D2A2"/>
    <w:lvl w:ilvl="0" w:tplc="AEDCBAD2">
      <w:start w:val="3"/>
      <w:numFmt w:val="decimal"/>
      <w:lvlText w:val="%1."/>
      <w:lvlJc w:val="left"/>
      <w:pPr>
        <w:tabs>
          <w:tab w:val="num" w:pos="1440"/>
        </w:tabs>
        <w:ind w:left="1440"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FF83071"/>
    <w:multiLevelType w:val="hybridMultilevel"/>
    <w:tmpl w:val="DCDA0F8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4" w15:restartNumberingAfterBreak="0">
    <w:nsid w:val="5030768F"/>
    <w:multiLevelType w:val="hybridMultilevel"/>
    <w:tmpl w:val="96A6FB72"/>
    <w:lvl w:ilvl="0" w:tplc="D3644424">
      <w:start w:val="1"/>
      <w:numFmt w:val="decimal"/>
      <w:lvlText w:val="%1."/>
      <w:lvlJc w:val="left"/>
      <w:pPr>
        <w:tabs>
          <w:tab w:val="num" w:pos="2880"/>
        </w:tabs>
        <w:ind w:left="288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14344B2"/>
    <w:multiLevelType w:val="hybridMultilevel"/>
    <w:tmpl w:val="43FEB24E"/>
    <w:lvl w:ilvl="0" w:tplc="85741894">
      <w:start w:val="1"/>
      <w:numFmt w:val="decimal"/>
      <w:lvlText w:val="%1."/>
      <w:lvlJc w:val="left"/>
      <w:pPr>
        <w:tabs>
          <w:tab w:val="num" w:pos="3048"/>
        </w:tabs>
        <w:ind w:left="3048"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43C4C17"/>
    <w:multiLevelType w:val="hybridMultilevel"/>
    <w:tmpl w:val="AB10030C"/>
    <w:lvl w:ilvl="0" w:tplc="D3644424">
      <w:start w:val="1"/>
      <w:numFmt w:val="decimal"/>
      <w:lvlText w:val="%1."/>
      <w:lvlJc w:val="left"/>
      <w:pPr>
        <w:tabs>
          <w:tab w:val="num" w:pos="2880"/>
        </w:tabs>
        <w:ind w:left="288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55991A3A"/>
    <w:multiLevelType w:val="hybridMultilevel"/>
    <w:tmpl w:val="0C5443A0"/>
    <w:lvl w:ilvl="0" w:tplc="9CE44088">
      <w:start w:val="1"/>
      <w:numFmt w:val="decimal"/>
      <w:lvlText w:val="%1."/>
      <w:lvlJc w:val="left"/>
      <w:pPr>
        <w:tabs>
          <w:tab w:val="num" w:pos="1440"/>
        </w:tabs>
        <w:ind w:left="1440" w:hanging="360"/>
      </w:pPr>
      <w:rPr>
        <w:rFonts w:cs="Times New Roman" w:hint="default"/>
      </w:rPr>
    </w:lvl>
    <w:lvl w:ilvl="1" w:tplc="04100019">
      <w:start w:val="1"/>
      <w:numFmt w:val="lowerLetter"/>
      <w:lvlText w:val="%2."/>
      <w:lvlJc w:val="left"/>
      <w:pPr>
        <w:tabs>
          <w:tab w:val="num" w:pos="1440"/>
        </w:tabs>
        <w:ind w:left="1440" w:hanging="360"/>
      </w:pPr>
      <w:rPr>
        <w:rFonts w:cs="Times New Roman" w:hint="default"/>
      </w:rPr>
    </w:lvl>
    <w:lvl w:ilvl="2" w:tplc="4738A458">
      <w:start w:val="3"/>
      <w:numFmt w:val="decimal"/>
      <w:lvlText w:val="%3."/>
      <w:lvlJc w:val="left"/>
      <w:pPr>
        <w:tabs>
          <w:tab w:val="num" w:pos="1440"/>
        </w:tabs>
        <w:ind w:left="14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7424547"/>
    <w:multiLevelType w:val="hybridMultilevel"/>
    <w:tmpl w:val="084221F0"/>
    <w:lvl w:ilvl="0" w:tplc="01DA8854">
      <w:start w:val="1"/>
      <w:numFmt w:val="decimal"/>
      <w:lvlText w:val="%1."/>
      <w:lvlJc w:val="left"/>
      <w:pPr>
        <w:tabs>
          <w:tab w:val="num" w:pos="1440"/>
        </w:tabs>
        <w:ind w:left="1440"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75474CA"/>
    <w:multiLevelType w:val="hybridMultilevel"/>
    <w:tmpl w:val="F782BD68"/>
    <w:lvl w:ilvl="0" w:tplc="B9EC27AA">
      <w:start w:val="2"/>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7BB7102"/>
    <w:multiLevelType w:val="hybridMultilevel"/>
    <w:tmpl w:val="79DEC2AC"/>
    <w:lvl w:ilvl="0" w:tplc="D3644424">
      <w:start w:val="1"/>
      <w:numFmt w:val="decimal"/>
      <w:lvlText w:val="%1."/>
      <w:lvlJc w:val="left"/>
      <w:pPr>
        <w:tabs>
          <w:tab w:val="num" w:pos="2880"/>
        </w:tabs>
        <w:ind w:left="288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8A75316"/>
    <w:multiLevelType w:val="hybridMultilevel"/>
    <w:tmpl w:val="932472C0"/>
    <w:lvl w:ilvl="0" w:tplc="D3644424">
      <w:start w:val="1"/>
      <w:numFmt w:val="decimal"/>
      <w:lvlText w:val="%1."/>
      <w:lvlJc w:val="left"/>
      <w:pPr>
        <w:tabs>
          <w:tab w:val="num" w:pos="2880"/>
        </w:tabs>
        <w:ind w:left="288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5C7D7238"/>
    <w:multiLevelType w:val="hybridMultilevel"/>
    <w:tmpl w:val="3F5637F8"/>
    <w:lvl w:ilvl="0" w:tplc="9CE44088">
      <w:start w:val="1"/>
      <w:numFmt w:val="decimal"/>
      <w:lvlText w:val="%1."/>
      <w:lvlJc w:val="left"/>
      <w:pPr>
        <w:tabs>
          <w:tab w:val="num" w:pos="1620"/>
        </w:tabs>
        <w:ind w:left="1620" w:hanging="360"/>
      </w:pPr>
      <w:rPr>
        <w:rFonts w:cs="Times New Roman" w:hint="default"/>
      </w:rPr>
    </w:lvl>
    <w:lvl w:ilvl="1" w:tplc="04100019" w:tentative="1">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340"/>
        </w:tabs>
        <w:ind w:left="2340" w:hanging="180"/>
      </w:pPr>
      <w:rPr>
        <w:rFonts w:cs="Times New Roman"/>
      </w:rPr>
    </w:lvl>
    <w:lvl w:ilvl="3" w:tplc="0410000F" w:tentative="1">
      <w:start w:val="1"/>
      <w:numFmt w:val="decimal"/>
      <w:lvlText w:val="%4."/>
      <w:lvlJc w:val="left"/>
      <w:pPr>
        <w:tabs>
          <w:tab w:val="num" w:pos="3060"/>
        </w:tabs>
        <w:ind w:left="3060" w:hanging="360"/>
      </w:pPr>
      <w:rPr>
        <w:rFonts w:cs="Times New Roman"/>
      </w:rPr>
    </w:lvl>
    <w:lvl w:ilvl="4" w:tplc="04100019" w:tentative="1">
      <w:start w:val="1"/>
      <w:numFmt w:val="lowerLetter"/>
      <w:lvlText w:val="%5."/>
      <w:lvlJc w:val="left"/>
      <w:pPr>
        <w:tabs>
          <w:tab w:val="num" w:pos="3780"/>
        </w:tabs>
        <w:ind w:left="3780" w:hanging="360"/>
      </w:pPr>
      <w:rPr>
        <w:rFonts w:cs="Times New Roman"/>
      </w:rPr>
    </w:lvl>
    <w:lvl w:ilvl="5" w:tplc="0410001B" w:tentative="1">
      <w:start w:val="1"/>
      <w:numFmt w:val="lowerRoman"/>
      <w:lvlText w:val="%6."/>
      <w:lvlJc w:val="right"/>
      <w:pPr>
        <w:tabs>
          <w:tab w:val="num" w:pos="4500"/>
        </w:tabs>
        <w:ind w:left="4500" w:hanging="180"/>
      </w:pPr>
      <w:rPr>
        <w:rFonts w:cs="Times New Roman"/>
      </w:rPr>
    </w:lvl>
    <w:lvl w:ilvl="6" w:tplc="0410000F" w:tentative="1">
      <w:start w:val="1"/>
      <w:numFmt w:val="decimal"/>
      <w:lvlText w:val="%7."/>
      <w:lvlJc w:val="left"/>
      <w:pPr>
        <w:tabs>
          <w:tab w:val="num" w:pos="5220"/>
        </w:tabs>
        <w:ind w:left="5220" w:hanging="360"/>
      </w:pPr>
      <w:rPr>
        <w:rFonts w:cs="Times New Roman"/>
      </w:rPr>
    </w:lvl>
    <w:lvl w:ilvl="7" w:tplc="04100019" w:tentative="1">
      <w:start w:val="1"/>
      <w:numFmt w:val="lowerLetter"/>
      <w:lvlText w:val="%8."/>
      <w:lvlJc w:val="left"/>
      <w:pPr>
        <w:tabs>
          <w:tab w:val="num" w:pos="5940"/>
        </w:tabs>
        <w:ind w:left="5940" w:hanging="360"/>
      </w:pPr>
      <w:rPr>
        <w:rFonts w:cs="Times New Roman"/>
      </w:rPr>
    </w:lvl>
    <w:lvl w:ilvl="8" w:tplc="0410001B" w:tentative="1">
      <w:start w:val="1"/>
      <w:numFmt w:val="lowerRoman"/>
      <w:lvlText w:val="%9."/>
      <w:lvlJc w:val="right"/>
      <w:pPr>
        <w:tabs>
          <w:tab w:val="num" w:pos="6660"/>
        </w:tabs>
        <w:ind w:left="6660" w:hanging="180"/>
      </w:pPr>
      <w:rPr>
        <w:rFonts w:cs="Times New Roman"/>
      </w:rPr>
    </w:lvl>
  </w:abstractNum>
  <w:abstractNum w:abstractNumId="73" w15:restartNumberingAfterBreak="0">
    <w:nsid w:val="5DF30F4C"/>
    <w:multiLevelType w:val="hybridMultilevel"/>
    <w:tmpl w:val="32C2C4CA"/>
    <w:lvl w:ilvl="0" w:tplc="2468FDC8">
      <w:start w:val="1"/>
      <w:numFmt w:val="decimal"/>
      <w:lvlText w:val="%1."/>
      <w:lvlJc w:val="left"/>
      <w:pPr>
        <w:tabs>
          <w:tab w:val="num" w:pos="1620"/>
        </w:tabs>
        <w:ind w:left="1620" w:hanging="360"/>
      </w:pPr>
      <w:rPr>
        <w:rFonts w:cs="Times New Roman" w:hint="default"/>
        <w:b w:val="0"/>
      </w:rPr>
    </w:lvl>
    <w:lvl w:ilvl="1" w:tplc="04100019">
      <w:start w:val="1"/>
      <w:numFmt w:val="lowerLetter"/>
      <w:lvlText w:val="%2."/>
      <w:lvlJc w:val="left"/>
      <w:pPr>
        <w:tabs>
          <w:tab w:val="num" w:pos="1620"/>
        </w:tabs>
        <w:ind w:left="1620" w:hanging="360"/>
      </w:pPr>
      <w:rPr>
        <w:rFonts w:cs="Times New Roman"/>
      </w:rPr>
    </w:lvl>
    <w:lvl w:ilvl="2" w:tplc="0410001B">
      <w:start w:val="1"/>
      <w:numFmt w:val="lowerRoman"/>
      <w:lvlText w:val="%3."/>
      <w:lvlJc w:val="right"/>
      <w:pPr>
        <w:tabs>
          <w:tab w:val="num" w:pos="2340"/>
        </w:tabs>
        <w:ind w:left="2340" w:hanging="180"/>
      </w:pPr>
      <w:rPr>
        <w:rFonts w:cs="Times New Roman"/>
      </w:rPr>
    </w:lvl>
    <w:lvl w:ilvl="3" w:tplc="0410000F" w:tentative="1">
      <w:start w:val="1"/>
      <w:numFmt w:val="decimal"/>
      <w:lvlText w:val="%4."/>
      <w:lvlJc w:val="left"/>
      <w:pPr>
        <w:tabs>
          <w:tab w:val="num" w:pos="3060"/>
        </w:tabs>
        <w:ind w:left="3060" w:hanging="360"/>
      </w:pPr>
      <w:rPr>
        <w:rFonts w:cs="Times New Roman"/>
      </w:rPr>
    </w:lvl>
    <w:lvl w:ilvl="4" w:tplc="04100019" w:tentative="1">
      <w:start w:val="1"/>
      <w:numFmt w:val="lowerLetter"/>
      <w:lvlText w:val="%5."/>
      <w:lvlJc w:val="left"/>
      <w:pPr>
        <w:tabs>
          <w:tab w:val="num" w:pos="3780"/>
        </w:tabs>
        <w:ind w:left="3780" w:hanging="360"/>
      </w:pPr>
      <w:rPr>
        <w:rFonts w:cs="Times New Roman"/>
      </w:rPr>
    </w:lvl>
    <w:lvl w:ilvl="5" w:tplc="0410001B" w:tentative="1">
      <w:start w:val="1"/>
      <w:numFmt w:val="lowerRoman"/>
      <w:lvlText w:val="%6."/>
      <w:lvlJc w:val="right"/>
      <w:pPr>
        <w:tabs>
          <w:tab w:val="num" w:pos="4500"/>
        </w:tabs>
        <w:ind w:left="4500" w:hanging="180"/>
      </w:pPr>
      <w:rPr>
        <w:rFonts w:cs="Times New Roman"/>
      </w:rPr>
    </w:lvl>
    <w:lvl w:ilvl="6" w:tplc="0410000F" w:tentative="1">
      <w:start w:val="1"/>
      <w:numFmt w:val="decimal"/>
      <w:lvlText w:val="%7."/>
      <w:lvlJc w:val="left"/>
      <w:pPr>
        <w:tabs>
          <w:tab w:val="num" w:pos="5220"/>
        </w:tabs>
        <w:ind w:left="5220" w:hanging="360"/>
      </w:pPr>
      <w:rPr>
        <w:rFonts w:cs="Times New Roman"/>
      </w:rPr>
    </w:lvl>
    <w:lvl w:ilvl="7" w:tplc="04100019" w:tentative="1">
      <w:start w:val="1"/>
      <w:numFmt w:val="lowerLetter"/>
      <w:lvlText w:val="%8."/>
      <w:lvlJc w:val="left"/>
      <w:pPr>
        <w:tabs>
          <w:tab w:val="num" w:pos="5940"/>
        </w:tabs>
        <w:ind w:left="5940" w:hanging="360"/>
      </w:pPr>
      <w:rPr>
        <w:rFonts w:cs="Times New Roman"/>
      </w:rPr>
    </w:lvl>
    <w:lvl w:ilvl="8" w:tplc="0410001B" w:tentative="1">
      <w:start w:val="1"/>
      <w:numFmt w:val="lowerRoman"/>
      <w:lvlText w:val="%9."/>
      <w:lvlJc w:val="right"/>
      <w:pPr>
        <w:tabs>
          <w:tab w:val="num" w:pos="6660"/>
        </w:tabs>
        <w:ind w:left="6660" w:hanging="180"/>
      </w:pPr>
      <w:rPr>
        <w:rFonts w:cs="Times New Roman"/>
      </w:rPr>
    </w:lvl>
  </w:abstractNum>
  <w:abstractNum w:abstractNumId="74" w15:restartNumberingAfterBreak="0">
    <w:nsid w:val="5E787880"/>
    <w:multiLevelType w:val="hybridMultilevel"/>
    <w:tmpl w:val="D5465B0E"/>
    <w:lvl w:ilvl="0" w:tplc="3F1EDC24">
      <w:start w:val="1"/>
      <w:numFmt w:val="decimal"/>
      <w:lvlText w:val="%1."/>
      <w:lvlJc w:val="left"/>
      <w:pPr>
        <w:tabs>
          <w:tab w:val="num" w:pos="2340"/>
        </w:tabs>
        <w:ind w:left="2340" w:hanging="360"/>
      </w:pPr>
      <w:rPr>
        <w:rFonts w:cs="Times New Roman" w:hint="default"/>
      </w:rPr>
    </w:lvl>
    <w:lvl w:ilvl="1" w:tplc="04100019">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FA87ED4"/>
    <w:multiLevelType w:val="hybridMultilevel"/>
    <w:tmpl w:val="AFE210F4"/>
    <w:lvl w:ilvl="0" w:tplc="D3644424">
      <w:start w:val="1"/>
      <w:numFmt w:val="decimal"/>
      <w:lvlText w:val="%1."/>
      <w:lvlJc w:val="left"/>
      <w:pPr>
        <w:tabs>
          <w:tab w:val="num" w:pos="2880"/>
        </w:tabs>
        <w:ind w:left="288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5FC13F33"/>
    <w:multiLevelType w:val="hybridMultilevel"/>
    <w:tmpl w:val="6DB41A42"/>
    <w:lvl w:ilvl="0" w:tplc="2468FDC8">
      <w:start w:val="1"/>
      <w:numFmt w:val="decimal"/>
      <w:lvlText w:val="%1."/>
      <w:lvlJc w:val="left"/>
      <w:pPr>
        <w:tabs>
          <w:tab w:val="num" w:pos="1620"/>
        </w:tabs>
        <w:ind w:left="1620" w:hanging="360"/>
      </w:pPr>
      <w:rPr>
        <w:rFonts w:cs="Times New Roman" w:hint="default"/>
        <w:b w:val="0"/>
      </w:rPr>
    </w:lvl>
    <w:lvl w:ilvl="1" w:tplc="04100019" w:tentative="1">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340"/>
        </w:tabs>
        <w:ind w:left="2340" w:hanging="180"/>
      </w:pPr>
      <w:rPr>
        <w:rFonts w:cs="Times New Roman"/>
      </w:rPr>
    </w:lvl>
    <w:lvl w:ilvl="3" w:tplc="0410000F" w:tentative="1">
      <w:start w:val="1"/>
      <w:numFmt w:val="decimal"/>
      <w:lvlText w:val="%4."/>
      <w:lvlJc w:val="left"/>
      <w:pPr>
        <w:tabs>
          <w:tab w:val="num" w:pos="3060"/>
        </w:tabs>
        <w:ind w:left="3060" w:hanging="360"/>
      </w:pPr>
      <w:rPr>
        <w:rFonts w:cs="Times New Roman"/>
      </w:rPr>
    </w:lvl>
    <w:lvl w:ilvl="4" w:tplc="04100019" w:tentative="1">
      <w:start w:val="1"/>
      <w:numFmt w:val="lowerLetter"/>
      <w:lvlText w:val="%5."/>
      <w:lvlJc w:val="left"/>
      <w:pPr>
        <w:tabs>
          <w:tab w:val="num" w:pos="3780"/>
        </w:tabs>
        <w:ind w:left="3780" w:hanging="360"/>
      </w:pPr>
      <w:rPr>
        <w:rFonts w:cs="Times New Roman"/>
      </w:rPr>
    </w:lvl>
    <w:lvl w:ilvl="5" w:tplc="0410001B" w:tentative="1">
      <w:start w:val="1"/>
      <w:numFmt w:val="lowerRoman"/>
      <w:lvlText w:val="%6."/>
      <w:lvlJc w:val="right"/>
      <w:pPr>
        <w:tabs>
          <w:tab w:val="num" w:pos="4500"/>
        </w:tabs>
        <w:ind w:left="4500" w:hanging="180"/>
      </w:pPr>
      <w:rPr>
        <w:rFonts w:cs="Times New Roman"/>
      </w:rPr>
    </w:lvl>
    <w:lvl w:ilvl="6" w:tplc="0410000F" w:tentative="1">
      <w:start w:val="1"/>
      <w:numFmt w:val="decimal"/>
      <w:lvlText w:val="%7."/>
      <w:lvlJc w:val="left"/>
      <w:pPr>
        <w:tabs>
          <w:tab w:val="num" w:pos="5220"/>
        </w:tabs>
        <w:ind w:left="5220" w:hanging="360"/>
      </w:pPr>
      <w:rPr>
        <w:rFonts w:cs="Times New Roman"/>
      </w:rPr>
    </w:lvl>
    <w:lvl w:ilvl="7" w:tplc="04100019" w:tentative="1">
      <w:start w:val="1"/>
      <w:numFmt w:val="lowerLetter"/>
      <w:lvlText w:val="%8."/>
      <w:lvlJc w:val="left"/>
      <w:pPr>
        <w:tabs>
          <w:tab w:val="num" w:pos="5940"/>
        </w:tabs>
        <w:ind w:left="5940" w:hanging="360"/>
      </w:pPr>
      <w:rPr>
        <w:rFonts w:cs="Times New Roman"/>
      </w:rPr>
    </w:lvl>
    <w:lvl w:ilvl="8" w:tplc="0410001B" w:tentative="1">
      <w:start w:val="1"/>
      <w:numFmt w:val="lowerRoman"/>
      <w:lvlText w:val="%9."/>
      <w:lvlJc w:val="right"/>
      <w:pPr>
        <w:tabs>
          <w:tab w:val="num" w:pos="6660"/>
        </w:tabs>
        <w:ind w:left="6660" w:hanging="180"/>
      </w:pPr>
      <w:rPr>
        <w:rFonts w:cs="Times New Roman"/>
      </w:rPr>
    </w:lvl>
  </w:abstractNum>
  <w:abstractNum w:abstractNumId="77" w15:restartNumberingAfterBreak="0">
    <w:nsid w:val="60AB5118"/>
    <w:multiLevelType w:val="hybridMultilevel"/>
    <w:tmpl w:val="9F7AA9C6"/>
    <w:lvl w:ilvl="0" w:tplc="85741894">
      <w:start w:val="1"/>
      <w:numFmt w:val="decimal"/>
      <w:lvlText w:val="%1."/>
      <w:lvlJc w:val="left"/>
      <w:pPr>
        <w:tabs>
          <w:tab w:val="num" w:pos="3048"/>
        </w:tabs>
        <w:ind w:left="3048"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3231162"/>
    <w:multiLevelType w:val="hybridMultilevel"/>
    <w:tmpl w:val="28A0F45A"/>
    <w:lvl w:ilvl="0" w:tplc="F7BEC6B2">
      <w:start w:val="2"/>
      <w:numFmt w:val="decimal"/>
      <w:lvlText w:val="%1."/>
      <w:lvlJc w:val="left"/>
      <w:pPr>
        <w:tabs>
          <w:tab w:val="num" w:pos="1440"/>
        </w:tabs>
        <w:ind w:left="1440"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4794656"/>
    <w:multiLevelType w:val="hybridMultilevel"/>
    <w:tmpl w:val="12802662"/>
    <w:lvl w:ilvl="0" w:tplc="2468FDC8">
      <w:start w:val="1"/>
      <w:numFmt w:val="decimal"/>
      <w:lvlText w:val="%1."/>
      <w:lvlJc w:val="left"/>
      <w:pPr>
        <w:tabs>
          <w:tab w:val="num" w:pos="1620"/>
        </w:tabs>
        <w:ind w:left="1620" w:hanging="360"/>
      </w:pPr>
      <w:rPr>
        <w:rFonts w:cs="Times New Roman" w:hint="default"/>
        <w:b w:val="0"/>
      </w:rPr>
    </w:lvl>
    <w:lvl w:ilvl="1" w:tplc="04100019" w:tentative="1">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340"/>
        </w:tabs>
        <w:ind w:left="2340" w:hanging="180"/>
      </w:pPr>
      <w:rPr>
        <w:rFonts w:cs="Times New Roman"/>
      </w:rPr>
    </w:lvl>
    <w:lvl w:ilvl="3" w:tplc="0410000F" w:tentative="1">
      <w:start w:val="1"/>
      <w:numFmt w:val="decimal"/>
      <w:lvlText w:val="%4."/>
      <w:lvlJc w:val="left"/>
      <w:pPr>
        <w:tabs>
          <w:tab w:val="num" w:pos="3060"/>
        </w:tabs>
        <w:ind w:left="3060" w:hanging="360"/>
      </w:pPr>
      <w:rPr>
        <w:rFonts w:cs="Times New Roman"/>
      </w:rPr>
    </w:lvl>
    <w:lvl w:ilvl="4" w:tplc="04100019" w:tentative="1">
      <w:start w:val="1"/>
      <w:numFmt w:val="lowerLetter"/>
      <w:lvlText w:val="%5."/>
      <w:lvlJc w:val="left"/>
      <w:pPr>
        <w:tabs>
          <w:tab w:val="num" w:pos="3780"/>
        </w:tabs>
        <w:ind w:left="3780" w:hanging="360"/>
      </w:pPr>
      <w:rPr>
        <w:rFonts w:cs="Times New Roman"/>
      </w:rPr>
    </w:lvl>
    <w:lvl w:ilvl="5" w:tplc="0410001B" w:tentative="1">
      <w:start w:val="1"/>
      <w:numFmt w:val="lowerRoman"/>
      <w:lvlText w:val="%6."/>
      <w:lvlJc w:val="right"/>
      <w:pPr>
        <w:tabs>
          <w:tab w:val="num" w:pos="4500"/>
        </w:tabs>
        <w:ind w:left="4500" w:hanging="180"/>
      </w:pPr>
      <w:rPr>
        <w:rFonts w:cs="Times New Roman"/>
      </w:rPr>
    </w:lvl>
    <w:lvl w:ilvl="6" w:tplc="0410000F" w:tentative="1">
      <w:start w:val="1"/>
      <w:numFmt w:val="decimal"/>
      <w:lvlText w:val="%7."/>
      <w:lvlJc w:val="left"/>
      <w:pPr>
        <w:tabs>
          <w:tab w:val="num" w:pos="5220"/>
        </w:tabs>
        <w:ind w:left="5220" w:hanging="360"/>
      </w:pPr>
      <w:rPr>
        <w:rFonts w:cs="Times New Roman"/>
      </w:rPr>
    </w:lvl>
    <w:lvl w:ilvl="7" w:tplc="04100019" w:tentative="1">
      <w:start w:val="1"/>
      <w:numFmt w:val="lowerLetter"/>
      <w:lvlText w:val="%8."/>
      <w:lvlJc w:val="left"/>
      <w:pPr>
        <w:tabs>
          <w:tab w:val="num" w:pos="5940"/>
        </w:tabs>
        <w:ind w:left="5940" w:hanging="360"/>
      </w:pPr>
      <w:rPr>
        <w:rFonts w:cs="Times New Roman"/>
      </w:rPr>
    </w:lvl>
    <w:lvl w:ilvl="8" w:tplc="0410001B" w:tentative="1">
      <w:start w:val="1"/>
      <w:numFmt w:val="lowerRoman"/>
      <w:lvlText w:val="%9."/>
      <w:lvlJc w:val="right"/>
      <w:pPr>
        <w:tabs>
          <w:tab w:val="num" w:pos="6660"/>
        </w:tabs>
        <w:ind w:left="6660" w:hanging="180"/>
      </w:pPr>
      <w:rPr>
        <w:rFonts w:cs="Times New Roman"/>
      </w:rPr>
    </w:lvl>
  </w:abstractNum>
  <w:abstractNum w:abstractNumId="80" w15:restartNumberingAfterBreak="0">
    <w:nsid w:val="657B5B86"/>
    <w:multiLevelType w:val="hybridMultilevel"/>
    <w:tmpl w:val="1B281C74"/>
    <w:lvl w:ilvl="0" w:tplc="85741894">
      <w:start w:val="1"/>
      <w:numFmt w:val="decimal"/>
      <w:lvlText w:val="%1."/>
      <w:lvlJc w:val="left"/>
      <w:pPr>
        <w:tabs>
          <w:tab w:val="num" w:pos="3048"/>
        </w:tabs>
        <w:ind w:left="3048"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5FD55D6"/>
    <w:multiLevelType w:val="hybridMultilevel"/>
    <w:tmpl w:val="666214F4"/>
    <w:lvl w:ilvl="0" w:tplc="D3644424">
      <w:start w:val="1"/>
      <w:numFmt w:val="decimal"/>
      <w:lvlText w:val="%1."/>
      <w:lvlJc w:val="left"/>
      <w:pPr>
        <w:tabs>
          <w:tab w:val="num" w:pos="2880"/>
        </w:tabs>
        <w:ind w:left="288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A2612C0"/>
    <w:multiLevelType w:val="hybridMultilevel"/>
    <w:tmpl w:val="436AC8B4"/>
    <w:lvl w:ilvl="0" w:tplc="3BFC9116">
      <w:start w:val="1"/>
      <w:numFmt w:val="lowerRoman"/>
      <w:lvlText w:val="%1."/>
      <w:lvlJc w:val="left"/>
      <w:pPr>
        <w:tabs>
          <w:tab w:val="num" w:pos="1440"/>
        </w:tabs>
        <w:ind w:left="144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70F536C0"/>
    <w:multiLevelType w:val="hybridMultilevel"/>
    <w:tmpl w:val="62688F90"/>
    <w:lvl w:ilvl="0" w:tplc="09BA6458">
      <w:start w:val="1"/>
      <w:numFmt w:val="lowerRoman"/>
      <w:lvlText w:val="%1."/>
      <w:lvlJc w:val="left"/>
      <w:pPr>
        <w:tabs>
          <w:tab w:val="num" w:pos="2160"/>
        </w:tabs>
        <w:ind w:left="2160" w:hanging="18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7311263D"/>
    <w:multiLevelType w:val="hybridMultilevel"/>
    <w:tmpl w:val="9F8C69F4"/>
    <w:lvl w:ilvl="0" w:tplc="5810B7E0">
      <w:start w:val="1"/>
      <w:numFmt w:val="decimal"/>
      <w:lvlText w:val="%1."/>
      <w:lvlJc w:val="left"/>
      <w:pPr>
        <w:tabs>
          <w:tab w:val="num" w:pos="720"/>
        </w:tabs>
        <w:ind w:left="720" w:hanging="360"/>
      </w:pPr>
      <w:rPr>
        <w:rFonts w:ascii="Times New Roman" w:hAnsi="Times New Roman" w:cs="Times New Roman" w:hint="default"/>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73C8211A"/>
    <w:multiLevelType w:val="hybridMultilevel"/>
    <w:tmpl w:val="336AF0B0"/>
    <w:lvl w:ilvl="0" w:tplc="D3644424">
      <w:start w:val="1"/>
      <w:numFmt w:val="decimal"/>
      <w:lvlText w:val="%1."/>
      <w:lvlJc w:val="left"/>
      <w:pPr>
        <w:tabs>
          <w:tab w:val="num" w:pos="2880"/>
        </w:tabs>
        <w:ind w:left="288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75E11052"/>
    <w:multiLevelType w:val="hybridMultilevel"/>
    <w:tmpl w:val="A276F3AC"/>
    <w:lvl w:ilvl="0" w:tplc="01DA8854">
      <w:start w:val="1"/>
      <w:numFmt w:val="decimal"/>
      <w:lvlText w:val="%1."/>
      <w:lvlJc w:val="left"/>
      <w:pPr>
        <w:tabs>
          <w:tab w:val="num" w:pos="1440"/>
        </w:tabs>
        <w:ind w:left="1440"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77C460A4"/>
    <w:multiLevelType w:val="hybridMultilevel"/>
    <w:tmpl w:val="B49C3D2A"/>
    <w:lvl w:ilvl="0" w:tplc="5E0C7556">
      <w:start w:val="1"/>
      <w:numFmt w:val="decimal"/>
      <w:lvlText w:val="%1."/>
      <w:lvlJc w:val="left"/>
      <w:pPr>
        <w:tabs>
          <w:tab w:val="num" w:pos="1440"/>
        </w:tabs>
        <w:ind w:left="1440" w:hanging="360"/>
      </w:pPr>
      <w:rPr>
        <w:rFonts w:cs="Times New Roman" w:hint="default"/>
      </w:rPr>
    </w:lvl>
    <w:lvl w:ilvl="1" w:tplc="04100019">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hint="default"/>
      </w:rPr>
    </w:lvl>
    <w:lvl w:ilvl="3" w:tplc="0410000F">
      <w:start w:val="1"/>
      <w:numFmt w:val="decimal"/>
      <w:lvlText w:val="%4."/>
      <w:lvlJc w:val="left"/>
      <w:pPr>
        <w:tabs>
          <w:tab w:val="num" w:pos="540"/>
        </w:tabs>
        <w:ind w:left="54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793D7A88"/>
    <w:multiLevelType w:val="hybridMultilevel"/>
    <w:tmpl w:val="84DA1156"/>
    <w:lvl w:ilvl="0" w:tplc="3E9EBCD0">
      <w:start w:val="1"/>
      <w:numFmt w:val="lowerLetter"/>
      <w:lvlText w:val="%1."/>
      <w:lvlJc w:val="left"/>
      <w:pPr>
        <w:tabs>
          <w:tab w:val="num" w:pos="2880"/>
        </w:tabs>
        <w:ind w:left="288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A0F5BCA"/>
    <w:multiLevelType w:val="hybridMultilevel"/>
    <w:tmpl w:val="5F2C811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0" w15:restartNumberingAfterBreak="0">
    <w:nsid w:val="7B041682"/>
    <w:multiLevelType w:val="hybridMultilevel"/>
    <w:tmpl w:val="695C515C"/>
    <w:lvl w:ilvl="0" w:tplc="5E0C7556">
      <w:start w:val="1"/>
      <w:numFmt w:val="decimal"/>
      <w:lvlText w:val="%1."/>
      <w:lvlJc w:val="left"/>
      <w:pPr>
        <w:tabs>
          <w:tab w:val="num" w:pos="1440"/>
        </w:tabs>
        <w:ind w:left="144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7B0D6447"/>
    <w:multiLevelType w:val="hybridMultilevel"/>
    <w:tmpl w:val="AD147426"/>
    <w:lvl w:ilvl="0" w:tplc="D3644424">
      <w:start w:val="1"/>
      <w:numFmt w:val="decimal"/>
      <w:lvlText w:val="%1."/>
      <w:lvlJc w:val="left"/>
      <w:pPr>
        <w:tabs>
          <w:tab w:val="num" w:pos="2880"/>
        </w:tabs>
        <w:ind w:left="288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7B7C11E6"/>
    <w:multiLevelType w:val="hybridMultilevel"/>
    <w:tmpl w:val="8BFA65E2"/>
    <w:lvl w:ilvl="0" w:tplc="95EC2506">
      <w:start w:val="1"/>
      <w:numFmt w:val="decimal"/>
      <w:lvlText w:val="%1."/>
      <w:lvlJc w:val="left"/>
      <w:pPr>
        <w:tabs>
          <w:tab w:val="num" w:pos="1440"/>
        </w:tabs>
        <w:ind w:left="1440" w:hanging="360"/>
      </w:pPr>
      <w:rPr>
        <w:rFonts w:cs="Times New Roman" w:hint="default"/>
        <w:b w:val="0"/>
      </w:rPr>
    </w:lvl>
    <w:lvl w:ilvl="1" w:tplc="04100019">
      <w:start w:val="1"/>
      <w:numFmt w:val="lowerLetter"/>
      <w:lvlText w:val="%2."/>
      <w:lvlJc w:val="left"/>
      <w:pPr>
        <w:tabs>
          <w:tab w:val="num" w:pos="1440"/>
        </w:tabs>
        <w:ind w:left="1440" w:hanging="360"/>
      </w:pPr>
      <w:rPr>
        <w:rFonts w:cs="Times New Roman" w:hint="default"/>
        <w:b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7C21628F"/>
    <w:multiLevelType w:val="hybridMultilevel"/>
    <w:tmpl w:val="EFB6BE2E"/>
    <w:lvl w:ilvl="0" w:tplc="F1EC83DC">
      <w:start w:val="1"/>
      <w:numFmt w:val="decimal"/>
      <w:lvlText w:val="%1."/>
      <w:lvlJc w:val="left"/>
      <w:pPr>
        <w:tabs>
          <w:tab w:val="num" w:pos="1440"/>
        </w:tabs>
        <w:ind w:left="1440" w:hanging="360"/>
      </w:pPr>
      <w:rPr>
        <w:rFonts w:cs="Times New Roman" w:hint="default"/>
      </w:rPr>
    </w:lvl>
    <w:lvl w:ilvl="1" w:tplc="04100019">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7CC03308"/>
    <w:multiLevelType w:val="hybridMultilevel"/>
    <w:tmpl w:val="39EA53D4"/>
    <w:lvl w:ilvl="0" w:tplc="F1EC83DC">
      <w:start w:val="1"/>
      <w:numFmt w:val="decimal"/>
      <w:lvlText w:val="%1."/>
      <w:lvlJc w:val="left"/>
      <w:pPr>
        <w:tabs>
          <w:tab w:val="num" w:pos="1440"/>
        </w:tabs>
        <w:ind w:left="144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F1EC83DC">
      <w:start w:val="1"/>
      <w:numFmt w:val="decimal"/>
      <w:lvlText w:val="%3."/>
      <w:lvlJc w:val="left"/>
      <w:pPr>
        <w:tabs>
          <w:tab w:val="num" w:pos="2340"/>
        </w:tabs>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20"/>
  </w:num>
  <w:num w:numId="3">
    <w:abstractNumId w:val="9"/>
  </w:num>
  <w:num w:numId="4">
    <w:abstractNumId w:val="48"/>
  </w:num>
  <w:num w:numId="5">
    <w:abstractNumId w:val="72"/>
  </w:num>
  <w:num w:numId="6">
    <w:abstractNumId w:val="67"/>
  </w:num>
  <w:num w:numId="7">
    <w:abstractNumId w:val="10"/>
  </w:num>
  <w:num w:numId="8">
    <w:abstractNumId w:val="53"/>
  </w:num>
  <w:num w:numId="9">
    <w:abstractNumId w:val="15"/>
  </w:num>
  <w:num w:numId="10">
    <w:abstractNumId w:val="42"/>
  </w:num>
  <w:num w:numId="11">
    <w:abstractNumId w:val="34"/>
  </w:num>
  <w:num w:numId="12">
    <w:abstractNumId w:val="93"/>
  </w:num>
  <w:num w:numId="13">
    <w:abstractNumId w:val="24"/>
  </w:num>
  <w:num w:numId="14">
    <w:abstractNumId w:val="28"/>
  </w:num>
  <w:num w:numId="15">
    <w:abstractNumId w:val="5"/>
  </w:num>
  <w:num w:numId="16">
    <w:abstractNumId w:val="94"/>
  </w:num>
  <w:num w:numId="17">
    <w:abstractNumId w:val="2"/>
  </w:num>
  <w:num w:numId="18">
    <w:abstractNumId w:val="27"/>
  </w:num>
  <w:num w:numId="19">
    <w:abstractNumId w:val="90"/>
  </w:num>
  <w:num w:numId="20">
    <w:abstractNumId w:val="61"/>
  </w:num>
  <w:num w:numId="21">
    <w:abstractNumId w:val="49"/>
  </w:num>
  <w:num w:numId="22">
    <w:abstractNumId w:val="87"/>
  </w:num>
  <w:num w:numId="23">
    <w:abstractNumId w:val="19"/>
  </w:num>
  <w:num w:numId="24">
    <w:abstractNumId w:val="82"/>
  </w:num>
  <w:num w:numId="25">
    <w:abstractNumId w:val="12"/>
  </w:num>
  <w:num w:numId="26">
    <w:abstractNumId w:val="23"/>
  </w:num>
  <w:num w:numId="27">
    <w:abstractNumId w:val="55"/>
  </w:num>
  <w:num w:numId="28">
    <w:abstractNumId w:val="30"/>
  </w:num>
  <w:num w:numId="29">
    <w:abstractNumId w:val="25"/>
  </w:num>
  <w:num w:numId="30">
    <w:abstractNumId w:val="58"/>
  </w:num>
  <w:num w:numId="31">
    <w:abstractNumId w:val="52"/>
  </w:num>
  <w:num w:numId="32">
    <w:abstractNumId w:val="26"/>
  </w:num>
  <w:num w:numId="33">
    <w:abstractNumId w:val="89"/>
  </w:num>
  <w:num w:numId="34">
    <w:abstractNumId w:val="22"/>
  </w:num>
  <w:num w:numId="35">
    <w:abstractNumId w:val="7"/>
  </w:num>
  <w:num w:numId="36">
    <w:abstractNumId w:val="3"/>
  </w:num>
  <w:num w:numId="37">
    <w:abstractNumId w:val="60"/>
  </w:num>
  <w:num w:numId="38">
    <w:abstractNumId w:val="6"/>
  </w:num>
  <w:num w:numId="39">
    <w:abstractNumId w:val="46"/>
  </w:num>
  <w:num w:numId="40">
    <w:abstractNumId w:val="41"/>
  </w:num>
  <w:num w:numId="41">
    <w:abstractNumId w:val="63"/>
  </w:num>
  <w:num w:numId="42">
    <w:abstractNumId w:val="83"/>
  </w:num>
  <w:num w:numId="43">
    <w:abstractNumId w:val="47"/>
  </w:num>
  <w:num w:numId="44">
    <w:abstractNumId w:val="36"/>
  </w:num>
  <w:num w:numId="45">
    <w:abstractNumId w:val="29"/>
  </w:num>
  <w:num w:numId="46">
    <w:abstractNumId w:val="18"/>
  </w:num>
  <w:num w:numId="47">
    <w:abstractNumId w:val="74"/>
  </w:num>
  <w:num w:numId="48">
    <w:abstractNumId w:val="32"/>
  </w:num>
  <w:num w:numId="49">
    <w:abstractNumId w:val="43"/>
  </w:num>
  <w:num w:numId="50">
    <w:abstractNumId w:val="0"/>
  </w:num>
  <w:num w:numId="51">
    <w:abstractNumId w:val="79"/>
  </w:num>
  <w:num w:numId="52">
    <w:abstractNumId w:val="76"/>
  </w:num>
  <w:num w:numId="53">
    <w:abstractNumId w:val="73"/>
  </w:num>
  <w:num w:numId="54">
    <w:abstractNumId w:val="4"/>
  </w:num>
  <w:num w:numId="55">
    <w:abstractNumId w:val="8"/>
  </w:num>
  <w:num w:numId="56">
    <w:abstractNumId w:val="92"/>
  </w:num>
  <w:num w:numId="57">
    <w:abstractNumId w:val="69"/>
  </w:num>
  <w:num w:numId="58">
    <w:abstractNumId w:val="11"/>
  </w:num>
  <w:num w:numId="59">
    <w:abstractNumId w:val="62"/>
  </w:num>
  <w:num w:numId="60">
    <w:abstractNumId w:val="68"/>
  </w:num>
  <w:num w:numId="61">
    <w:abstractNumId w:val="44"/>
  </w:num>
  <w:num w:numId="62">
    <w:abstractNumId w:val="86"/>
  </w:num>
  <w:num w:numId="63">
    <w:abstractNumId w:val="33"/>
  </w:num>
  <w:num w:numId="64">
    <w:abstractNumId w:val="37"/>
  </w:num>
  <w:num w:numId="65">
    <w:abstractNumId w:val="65"/>
  </w:num>
  <w:num w:numId="66">
    <w:abstractNumId w:val="80"/>
  </w:num>
  <w:num w:numId="67">
    <w:abstractNumId w:val="57"/>
  </w:num>
  <w:num w:numId="68">
    <w:abstractNumId w:val="51"/>
  </w:num>
  <w:num w:numId="69">
    <w:abstractNumId w:val="77"/>
  </w:num>
  <w:num w:numId="70">
    <w:abstractNumId w:val="56"/>
  </w:num>
  <w:num w:numId="71">
    <w:abstractNumId w:val="45"/>
  </w:num>
  <w:num w:numId="72">
    <w:abstractNumId w:val="85"/>
  </w:num>
  <w:num w:numId="73">
    <w:abstractNumId w:val="1"/>
  </w:num>
  <w:num w:numId="74">
    <w:abstractNumId w:val="59"/>
  </w:num>
  <w:num w:numId="75">
    <w:abstractNumId w:val="54"/>
  </w:num>
  <w:num w:numId="76">
    <w:abstractNumId w:val="81"/>
  </w:num>
  <w:num w:numId="77">
    <w:abstractNumId w:val="31"/>
  </w:num>
  <w:num w:numId="78">
    <w:abstractNumId w:val="75"/>
  </w:num>
  <w:num w:numId="79">
    <w:abstractNumId w:val="17"/>
  </w:num>
  <w:num w:numId="80">
    <w:abstractNumId w:val="66"/>
  </w:num>
  <w:num w:numId="81">
    <w:abstractNumId w:val="14"/>
  </w:num>
  <w:num w:numId="82">
    <w:abstractNumId w:val="39"/>
  </w:num>
  <w:num w:numId="83">
    <w:abstractNumId w:val="71"/>
  </w:num>
  <w:num w:numId="84">
    <w:abstractNumId w:val="64"/>
  </w:num>
  <w:num w:numId="85">
    <w:abstractNumId w:val="70"/>
  </w:num>
  <w:num w:numId="86">
    <w:abstractNumId w:val="91"/>
  </w:num>
  <w:num w:numId="87">
    <w:abstractNumId w:val="35"/>
  </w:num>
  <w:num w:numId="88">
    <w:abstractNumId w:val="78"/>
  </w:num>
  <w:num w:numId="89">
    <w:abstractNumId w:val="16"/>
  </w:num>
  <w:num w:numId="90">
    <w:abstractNumId w:val="50"/>
  </w:num>
  <w:num w:numId="91">
    <w:abstractNumId w:val="21"/>
  </w:num>
  <w:num w:numId="92">
    <w:abstractNumId w:val="84"/>
  </w:num>
  <w:num w:numId="93">
    <w:abstractNumId w:val="88"/>
  </w:num>
  <w:num w:numId="94">
    <w:abstractNumId w:val="40"/>
  </w:num>
  <w:num w:numId="95">
    <w:abstractNumId w:val="3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AD7"/>
    <w:rsid w:val="000B0AB8"/>
    <w:rsid w:val="000F70A0"/>
    <w:rsid w:val="00237ECA"/>
    <w:rsid w:val="002613BD"/>
    <w:rsid w:val="002F77EB"/>
    <w:rsid w:val="00335A64"/>
    <w:rsid w:val="0037705A"/>
    <w:rsid w:val="00392EEB"/>
    <w:rsid w:val="003A7C07"/>
    <w:rsid w:val="004141EC"/>
    <w:rsid w:val="0043348E"/>
    <w:rsid w:val="004C45C9"/>
    <w:rsid w:val="004C6B69"/>
    <w:rsid w:val="00503AD7"/>
    <w:rsid w:val="0056001A"/>
    <w:rsid w:val="005B0767"/>
    <w:rsid w:val="006767E8"/>
    <w:rsid w:val="006B2C3F"/>
    <w:rsid w:val="00746B0C"/>
    <w:rsid w:val="007839EF"/>
    <w:rsid w:val="007A5ECC"/>
    <w:rsid w:val="00822201"/>
    <w:rsid w:val="0082515A"/>
    <w:rsid w:val="00837FED"/>
    <w:rsid w:val="008711C0"/>
    <w:rsid w:val="009677F3"/>
    <w:rsid w:val="00A01248"/>
    <w:rsid w:val="00A158BF"/>
    <w:rsid w:val="00A970B2"/>
    <w:rsid w:val="00AB32B3"/>
    <w:rsid w:val="00AC4327"/>
    <w:rsid w:val="00AF5115"/>
    <w:rsid w:val="00B81DDC"/>
    <w:rsid w:val="00BF6BC5"/>
    <w:rsid w:val="00DB53E3"/>
    <w:rsid w:val="00DD4317"/>
    <w:rsid w:val="00E05797"/>
    <w:rsid w:val="00E227AA"/>
    <w:rsid w:val="00FD5C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DFE4B56-EB61-460F-B841-62FDE05A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03AD7"/>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503AD7"/>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rPr>
  </w:style>
  <w:style w:type="paragraph" w:customStyle="1" w:styleId="Paragrafoelenco3">
    <w:name w:val="Paragrafo elenco3"/>
    <w:basedOn w:val="Normale"/>
    <w:uiPriority w:val="99"/>
    <w:rsid w:val="00503AD7"/>
    <w:pPr>
      <w:spacing w:after="200" w:line="276" w:lineRule="auto"/>
      <w:ind w:left="720"/>
      <w:contextualSpacing/>
    </w:pPr>
    <w:rPr>
      <w:rFonts w:ascii="Calibri" w:hAnsi="Calibri"/>
      <w:sz w:val="22"/>
      <w:szCs w:val="22"/>
      <w:lang w:eastAsia="en-US"/>
    </w:rPr>
  </w:style>
  <w:style w:type="paragraph" w:styleId="Intestazione">
    <w:name w:val="header"/>
    <w:basedOn w:val="Normale"/>
    <w:link w:val="IntestazioneCarattere"/>
    <w:uiPriority w:val="99"/>
    <w:rsid w:val="009677F3"/>
    <w:pPr>
      <w:tabs>
        <w:tab w:val="center" w:pos="4819"/>
        <w:tab w:val="right" w:pos="9638"/>
      </w:tabs>
    </w:pPr>
  </w:style>
  <w:style w:type="character" w:customStyle="1" w:styleId="IntestazioneCarattere">
    <w:name w:val="Intestazione Carattere"/>
    <w:link w:val="Intestazione"/>
    <w:uiPriority w:val="99"/>
    <w:locked/>
    <w:rsid w:val="009677F3"/>
    <w:rPr>
      <w:rFonts w:ascii="Times New Roman" w:hAnsi="Times New Roman" w:cs="Times New Roman"/>
      <w:sz w:val="24"/>
      <w:szCs w:val="24"/>
      <w:lang w:eastAsia="it-IT"/>
    </w:rPr>
  </w:style>
  <w:style w:type="paragraph" w:styleId="Pidipagina">
    <w:name w:val="footer"/>
    <w:basedOn w:val="Normale"/>
    <w:link w:val="PidipaginaCarattere"/>
    <w:uiPriority w:val="99"/>
    <w:rsid w:val="009677F3"/>
    <w:pPr>
      <w:tabs>
        <w:tab w:val="center" w:pos="4819"/>
        <w:tab w:val="right" w:pos="9638"/>
      </w:tabs>
    </w:pPr>
  </w:style>
  <w:style w:type="character" w:customStyle="1" w:styleId="PidipaginaCarattere">
    <w:name w:val="Piè di pagina Carattere"/>
    <w:link w:val="Pidipagina"/>
    <w:uiPriority w:val="99"/>
    <w:locked/>
    <w:rsid w:val="009677F3"/>
    <w:rPr>
      <w:rFonts w:ascii="Times New Roman" w:hAnsi="Times New Roman" w:cs="Times New Roman"/>
      <w:sz w:val="24"/>
      <w:szCs w:val="24"/>
      <w:lang w:eastAsia="it-IT"/>
    </w:rPr>
  </w:style>
  <w:style w:type="paragraph" w:styleId="Paragrafoelenco">
    <w:name w:val="List Paragraph"/>
    <w:basedOn w:val="Normale"/>
    <w:uiPriority w:val="99"/>
    <w:qFormat/>
    <w:rsid w:val="00335A64"/>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24</Pages>
  <Words>9840</Words>
  <Characters>56093</Characters>
  <Application>Microsoft Office Word</Application>
  <DocSecurity>0</DocSecurity>
  <Lines>467</Lines>
  <Paragraphs>131</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65802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User</dc:creator>
  <cp:keywords/>
  <dc:description/>
  <cp:lastModifiedBy>AMM-P0315</cp:lastModifiedBy>
  <cp:revision>11</cp:revision>
  <dcterms:created xsi:type="dcterms:W3CDTF">2015-09-16T09:18:00Z</dcterms:created>
  <dcterms:modified xsi:type="dcterms:W3CDTF">2015-11-17T11:25:00Z</dcterms:modified>
</cp:coreProperties>
</file>